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5C" w:rsidRPr="002B6F5C" w:rsidRDefault="002B6F5C" w:rsidP="002B6F5C">
      <w:pPr>
        <w:widowControl w:val="0"/>
        <w:shd w:val="clear" w:color="auto" w:fill="FFFFFF"/>
        <w:autoSpaceDE w:val="0"/>
        <w:autoSpaceDN w:val="0"/>
        <w:adjustRightInd w:val="0"/>
        <w:ind w:right="10"/>
        <w:jc w:val="center"/>
        <w:rPr>
          <w:b/>
          <w:bCs/>
          <w:spacing w:val="-2"/>
        </w:rPr>
      </w:pPr>
      <w:r w:rsidRPr="002B6F5C">
        <w:rPr>
          <w:b/>
          <w:bCs/>
          <w:spacing w:val="-2"/>
        </w:rPr>
        <w:t>СУБЛИЦЕНЗИОННЫЙ ДОГОВОР</w:t>
      </w:r>
    </w:p>
    <w:p w:rsidR="002B6F5C" w:rsidRPr="002B6F5C" w:rsidRDefault="002B6F5C" w:rsidP="002B6F5C">
      <w:pPr>
        <w:widowControl w:val="0"/>
        <w:shd w:val="clear" w:color="auto" w:fill="FFFFFF"/>
        <w:autoSpaceDE w:val="0"/>
        <w:autoSpaceDN w:val="0"/>
        <w:adjustRightInd w:val="0"/>
        <w:ind w:right="10"/>
        <w:jc w:val="center"/>
        <w:rPr>
          <w:b/>
        </w:rPr>
      </w:pPr>
      <w:r w:rsidRPr="002B6F5C">
        <w:rPr>
          <w:b/>
          <w:bCs/>
          <w:spacing w:val="-2"/>
        </w:rPr>
        <w:t>(редакция 1 от 01.01.2025)</w:t>
      </w:r>
      <w:r w:rsidRPr="002B6F5C">
        <w:rPr>
          <w:b/>
        </w:rPr>
        <w:fldChar w:fldCharType="begin"/>
      </w:r>
      <w:r w:rsidRPr="002B6F5C">
        <w:instrText xml:space="preserve"> </w:instrText>
      </w:r>
      <w:r w:rsidRPr="002B6F5C">
        <w:rPr>
          <w:b/>
        </w:rPr>
        <w:fldChar w:fldCharType="begin"/>
      </w:r>
      <w:r w:rsidRPr="002B6F5C">
        <w:instrText xml:space="preserve"> ==#CONTRACT_NUM///10#  \* MERGEFORMAT </w:instrText>
      </w:r>
      <w:r w:rsidRPr="002B6F5C">
        <w:rPr>
          <w:b/>
        </w:rPr>
        <w:fldChar w:fldCharType="separate"/>
      </w:r>
      <w:r w:rsidRPr="002B6F5C">
        <w:rPr>
          <w:noProof/>
        </w:rPr>
        <w:instrText>!Синтаксическая ошибка, =</w:instrText>
      </w:r>
      <w:r w:rsidRPr="002B6F5C">
        <w:rPr>
          <w:b/>
        </w:rPr>
        <w:fldChar w:fldCharType="end"/>
      </w:r>
      <w:r w:rsidRPr="002B6F5C">
        <w:rPr>
          <w:b/>
        </w:rPr>
        <w:fldChar w:fldCharType="end"/>
      </w:r>
    </w:p>
    <w:p w:rsidR="002B6F5C" w:rsidRDefault="002B6F5C" w:rsidP="002B6F5C">
      <w:pPr>
        <w:widowControl w:val="0"/>
        <w:shd w:val="clear" w:color="auto" w:fill="FFFFFF"/>
        <w:autoSpaceDE w:val="0"/>
        <w:autoSpaceDN w:val="0"/>
        <w:adjustRightInd w:val="0"/>
        <w:spacing w:after="240"/>
        <w:rPr>
          <w:b/>
          <w:bCs/>
        </w:rPr>
      </w:pPr>
    </w:p>
    <w:p w:rsidR="002B6F5C" w:rsidRDefault="002B6F5C" w:rsidP="002B6F5C">
      <w:pPr>
        <w:widowControl w:val="0"/>
        <w:shd w:val="clear" w:color="auto" w:fill="FFFFFF"/>
        <w:autoSpaceDE w:val="0"/>
        <w:autoSpaceDN w:val="0"/>
        <w:adjustRightInd w:val="0"/>
        <w:spacing w:after="240"/>
        <w:jc w:val="center"/>
        <w:rPr>
          <w:b/>
          <w:bCs/>
        </w:rPr>
      </w:pPr>
      <w:r w:rsidRPr="002B6F5C">
        <w:rPr>
          <w:b/>
          <w:bCs/>
        </w:rPr>
        <w:t>Общие положения.</w:t>
      </w:r>
    </w:p>
    <w:p w:rsidR="002B6F5C" w:rsidRPr="002B6F5C" w:rsidRDefault="002B6F5C" w:rsidP="002B6F5C">
      <w:pPr>
        <w:widowControl w:val="0"/>
        <w:shd w:val="clear" w:color="auto" w:fill="FFFFFF"/>
        <w:autoSpaceDE w:val="0"/>
        <w:autoSpaceDN w:val="0"/>
        <w:adjustRightInd w:val="0"/>
        <w:spacing w:after="240"/>
        <w:contextualSpacing/>
        <w:jc w:val="both"/>
      </w:pPr>
      <w:r w:rsidRPr="002B6F5C">
        <w:t xml:space="preserve">Настоящий </w:t>
      </w:r>
      <w:proofErr w:type="spellStart"/>
      <w:r w:rsidRPr="002B6F5C">
        <w:t>сублицензионный</w:t>
      </w:r>
      <w:proofErr w:type="spellEnd"/>
      <w:r w:rsidRPr="002B6F5C">
        <w:t xml:space="preserve"> договор (далее по тексту Договор) в соответствие с п.1 ст.428 ГК РФ является формой, определяющей условия договора присоединения.</w:t>
      </w:r>
    </w:p>
    <w:p w:rsidR="002B6F5C" w:rsidRPr="002B6F5C" w:rsidRDefault="002B6F5C" w:rsidP="002B6F5C">
      <w:pPr>
        <w:widowControl w:val="0"/>
        <w:shd w:val="clear" w:color="auto" w:fill="FFFFFF"/>
        <w:autoSpaceDE w:val="0"/>
        <w:autoSpaceDN w:val="0"/>
        <w:adjustRightInd w:val="0"/>
        <w:spacing w:after="240"/>
        <w:contextualSpacing/>
        <w:jc w:val="both"/>
      </w:pPr>
      <w:r w:rsidRPr="002B6F5C">
        <w:t>Договор заключается между ООО «ОСТМО» (далее Сублицензиат) и юридическим лицом (далее Пользователь), совместно именуемые «Стороны», не иначе, как путем присоединения Пользователя к Договору в целом.</w:t>
      </w:r>
    </w:p>
    <w:p w:rsidR="002B6F5C" w:rsidRPr="002B6F5C" w:rsidRDefault="002B6F5C" w:rsidP="002B6F5C">
      <w:pPr>
        <w:widowControl w:val="0"/>
        <w:shd w:val="clear" w:color="auto" w:fill="FFFFFF"/>
        <w:autoSpaceDE w:val="0"/>
        <w:autoSpaceDN w:val="0"/>
        <w:adjustRightInd w:val="0"/>
        <w:spacing w:before="274"/>
        <w:contextualSpacing/>
        <w:jc w:val="both"/>
      </w:pPr>
      <w:r w:rsidRPr="002B6F5C">
        <w:t xml:space="preserve">Присоединение к Договору осуществляется путем </w:t>
      </w:r>
      <w:r w:rsidRPr="002B6F5C">
        <w:rPr>
          <w:b/>
        </w:rPr>
        <w:t>активации</w:t>
      </w:r>
      <w:r w:rsidRPr="002B6F5C">
        <w:t xml:space="preserve"> Пользователем учетной записи в Программе и отправкой </w:t>
      </w:r>
      <w:r w:rsidR="00364A06">
        <w:t>З</w:t>
      </w:r>
      <w:r w:rsidRPr="002B6F5C">
        <w:t>аявления на подключение</w:t>
      </w:r>
      <w:r w:rsidR="00364A06">
        <w:t xml:space="preserve"> (Приложение №3)</w:t>
      </w:r>
      <w:r w:rsidRPr="002B6F5C">
        <w:t xml:space="preserve"> к Программе на электронную почту Сублицензиата, указанную в разделе </w:t>
      </w:r>
      <w:r w:rsidR="003F3A43">
        <w:t>7</w:t>
      </w:r>
      <w:r w:rsidRPr="002B6F5C">
        <w:t xml:space="preserve"> настоящего Договора.</w:t>
      </w:r>
    </w:p>
    <w:p w:rsidR="002B6F5C" w:rsidRPr="002B6F5C" w:rsidRDefault="002B6F5C" w:rsidP="002B6F5C">
      <w:pPr>
        <w:widowControl w:val="0"/>
        <w:shd w:val="clear" w:color="auto" w:fill="FFFFFF"/>
        <w:autoSpaceDE w:val="0"/>
        <w:autoSpaceDN w:val="0"/>
        <w:adjustRightInd w:val="0"/>
        <w:spacing w:before="278"/>
        <w:ind w:right="10"/>
        <w:contextualSpacing/>
        <w:jc w:val="both"/>
      </w:pPr>
      <w:r w:rsidRPr="002B6F5C">
        <w:t>В соответствии с п.3 ст.438 и п.3 ст.434 Гражданского кодекса Российской Федерации Договор считается заключенным в письменной форме.</w:t>
      </w:r>
    </w:p>
    <w:p w:rsidR="002B6F5C" w:rsidRPr="002B6F5C" w:rsidRDefault="002B6F5C" w:rsidP="002B6F5C">
      <w:pPr>
        <w:widowControl w:val="0"/>
        <w:shd w:val="clear" w:color="auto" w:fill="FFFFFF"/>
        <w:autoSpaceDE w:val="0"/>
        <w:autoSpaceDN w:val="0"/>
        <w:adjustRightInd w:val="0"/>
        <w:spacing w:before="278"/>
        <w:ind w:right="10"/>
        <w:contextualSpacing/>
        <w:jc w:val="both"/>
      </w:pPr>
      <w:bookmarkStart w:id="0" w:name="_GoBack"/>
      <w:bookmarkEnd w:id="0"/>
    </w:p>
    <w:p w:rsidR="002B6F5C" w:rsidRPr="002B6F5C" w:rsidRDefault="002B6F5C" w:rsidP="002B6F5C">
      <w:pPr>
        <w:pStyle w:val="a3"/>
        <w:suppressAutoHyphens/>
        <w:spacing w:after="120"/>
        <w:jc w:val="center"/>
        <w:rPr>
          <w:b/>
          <w:color w:val="000000"/>
        </w:rPr>
      </w:pPr>
      <w:r w:rsidRPr="002B6F5C">
        <w:rPr>
          <w:b/>
          <w:color w:val="000000"/>
        </w:rPr>
        <w:t>1. Термины, применяемые в настоящем Договоре:</w:t>
      </w:r>
    </w:p>
    <w:p w:rsidR="002B6F5C" w:rsidRPr="002B6F5C" w:rsidRDefault="002B6F5C" w:rsidP="002B6F5C">
      <w:pPr>
        <w:suppressAutoHyphens/>
        <w:ind w:right="57"/>
        <w:jc w:val="both"/>
        <w:rPr>
          <w:snapToGrid w:val="0"/>
        </w:rPr>
      </w:pPr>
      <w:r w:rsidRPr="002B6F5C">
        <w:rPr>
          <w:b/>
          <w:snapToGrid w:val="0"/>
        </w:rPr>
        <w:t xml:space="preserve">Лицензиар </w:t>
      </w:r>
      <w:r w:rsidRPr="002B6F5C">
        <w:rPr>
          <w:snapToGrid w:val="0"/>
        </w:rPr>
        <w:t>– общество с ограниченной ответственностью «</w:t>
      </w:r>
      <w:proofErr w:type="spellStart"/>
      <w:r w:rsidRPr="002B6F5C">
        <w:rPr>
          <w:snapToGrid w:val="0"/>
        </w:rPr>
        <w:t>Даобит</w:t>
      </w:r>
      <w:proofErr w:type="spellEnd"/>
      <w:r w:rsidRPr="002B6F5C">
        <w:rPr>
          <w:snapToGrid w:val="0"/>
        </w:rPr>
        <w:t>», ИНН 7813658825, разработчик и обладатель исключительных прав на программу для электронно-вычислительной машины ИМС «Нова».</w:t>
      </w:r>
    </w:p>
    <w:p w:rsidR="002B6F5C" w:rsidRPr="002B6F5C" w:rsidRDefault="002B6F5C" w:rsidP="002B6F5C">
      <w:pPr>
        <w:tabs>
          <w:tab w:val="left" w:pos="284"/>
        </w:tabs>
        <w:suppressAutoHyphens/>
        <w:ind w:right="57"/>
        <w:jc w:val="both"/>
      </w:pPr>
      <w:r w:rsidRPr="002B6F5C">
        <w:rPr>
          <w:b/>
          <w:color w:val="000000"/>
        </w:rPr>
        <w:t xml:space="preserve">Программа - </w:t>
      </w:r>
      <w:r w:rsidRPr="002B6F5C">
        <w:t>Программа для ЭВМ ИМС «Нова» с дополнительными функциональными возможностями (включая дополнительные программные модули), правообладателем которой является Лицензиар, что подтверждается Свидетельством о государственной регистрации программы для ЭВМ от 1 февраля 2023 года № 2023612311, выданным Федеральной Службой по интеллектуальной собственности (РОСПАТЕНТ); Программа позволяет Пользователю предоставлять сведения в Центральное информационно-техническое таможенное управление Федеральной таможенной службы России (далее – «ЦИТТУ ФТС России») в электронной форме; Программа включена в Единый реестр российских программ для электронных вычислительных машин и баз данных (ЕРРПО) в соответствии с Решением Министерства цифрового развития, связи и массовых коммуникаций Российской Федерации от 2 мая 2023 года под порядковым номером реестровой записи 17448;</w:t>
      </w:r>
    </w:p>
    <w:p w:rsidR="002B6F5C" w:rsidRPr="002B6F5C" w:rsidRDefault="002B6F5C" w:rsidP="002B6F5C">
      <w:pPr>
        <w:tabs>
          <w:tab w:val="left" w:pos="284"/>
        </w:tabs>
        <w:suppressAutoHyphens/>
        <w:ind w:right="57"/>
        <w:jc w:val="both"/>
        <w:rPr>
          <w:b/>
          <w:color w:val="000000"/>
        </w:rPr>
      </w:pPr>
      <w:r w:rsidRPr="002B6F5C">
        <w:rPr>
          <w:b/>
          <w:snapToGrid w:val="0"/>
        </w:rPr>
        <w:t>Лицензиат</w:t>
      </w:r>
      <w:r w:rsidRPr="002B6F5C">
        <w:rPr>
          <w:snapToGrid w:val="0"/>
        </w:rPr>
        <w:t xml:space="preserve"> – ООО «Компания </w:t>
      </w:r>
      <w:proofErr w:type="spellStart"/>
      <w:r w:rsidRPr="002B6F5C">
        <w:rPr>
          <w:snapToGrid w:val="0"/>
        </w:rPr>
        <w:t>Проминвест</w:t>
      </w:r>
      <w:proofErr w:type="spellEnd"/>
      <w:r w:rsidRPr="002B6F5C">
        <w:rPr>
          <w:snapToGrid w:val="0"/>
        </w:rPr>
        <w:t>»</w:t>
      </w:r>
      <w:r w:rsidRPr="002B6F5C">
        <w:rPr>
          <w:snapToGrid w:val="0"/>
          <w:color w:val="000000"/>
        </w:rPr>
        <w:t xml:space="preserve">, </w:t>
      </w:r>
      <w:r w:rsidRPr="002B6F5C">
        <w:rPr>
          <w:snapToGrid w:val="0"/>
        </w:rPr>
        <w:t>которому предоставлено право использования Программы способами, определенными договором между Правообладателем и Лицензиатом;</w:t>
      </w:r>
    </w:p>
    <w:p w:rsidR="002B6F5C" w:rsidRPr="002B6F5C" w:rsidRDefault="002B6F5C" w:rsidP="002B6F5C">
      <w:pPr>
        <w:tabs>
          <w:tab w:val="left" w:pos="284"/>
        </w:tabs>
        <w:suppressAutoHyphens/>
        <w:ind w:right="57"/>
        <w:jc w:val="both"/>
        <w:rPr>
          <w:b/>
          <w:color w:val="000000"/>
        </w:rPr>
      </w:pPr>
      <w:r w:rsidRPr="002B6F5C">
        <w:rPr>
          <w:b/>
          <w:color w:val="000000"/>
        </w:rPr>
        <w:t xml:space="preserve">Учетная запись - </w:t>
      </w:r>
      <w:r w:rsidRPr="002B6F5C">
        <w:t>логин (имя доступа) и пароль (код доступа) Пользователя для входа в Программу. Все действия, совершенные в Программе с использованием Учетной записи, считаются действиями, совершенными Пользователем.</w:t>
      </w:r>
    </w:p>
    <w:p w:rsidR="002B6F5C" w:rsidRPr="002B6F5C" w:rsidRDefault="002B6F5C" w:rsidP="002B6F5C">
      <w:pPr>
        <w:tabs>
          <w:tab w:val="left" w:pos="284"/>
        </w:tabs>
        <w:suppressAutoHyphens/>
        <w:ind w:right="57"/>
        <w:jc w:val="both"/>
        <w:rPr>
          <w:b/>
          <w:color w:val="000000"/>
        </w:rPr>
      </w:pPr>
      <w:r w:rsidRPr="002B6F5C">
        <w:rPr>
          <w:b/>
          <w:color w:val="000000"/>
        </w:rPr>
        <w:t xml:space="preserve">Активация – </w:t>
      </w:r>
      <w:r w:rsidRPr="002B6F5C">
        <w:rPr>
          <w:color w:val="000000"/>
        </w:rPr>
        <w:t>процедура подтверждения учетной записи</w:t>
      </w:r>
      <w:r w:rsidRPr="002B6F5C">
        <w:t>, полученной от Сублицензиата. Процедура заключается в добавлении кода активации в Программу.</w:t>
      </w:r>
    </w:p>
    <w:p w:rsidR="002B6F5C" w:rsidRPr="002B6F5C" w:rsidRDefault="002B6F5C" w:rsidP="002B6F5C">
      <w:pPr>
        <w:tabs>
          <w:tab w:val="left" w:pos="284"/>
        </w:tabs>
        <w:suppressAutoHyphens/>
        <w:ind w:right="57"/>
        <w:jc w:val="both"/>
        <w:rPr>
          <w:b/>
          <w:color w:val="000000"/>
        </w:rPr>
      </w:pPr>
      <w:r w:rsidRPr="002B6F5C">
        <w:rPr>
          <w:b/>
          <w:snapToGrid w:val="0"/>
          <w:color w:val="000000"/>
        </w:rPr>
        <w:t>Пользователь</w:t>
      </w:r>
      <w:r w:rsidRPr="002B6F5C">
        <w:rPr>
          <w:snapToGrid w:val="0"/>
          <w:color w:val="000000"/>
        </w:rPr>
        <w:t xml:space="preserve"> – юридическое  лицо, которому предоставлено право использования Программы (без права распространения) на основании </w:t>
      </w:r>
      <w:proofErr w:type="spellStart"/>
      <w:r w:rsidRPr="002B6F5C">
        <w:rPr>
          <w:snapToGrid w:val="0"/>
          <w:color w:val="000000"/>
        </w:rPr>
        <w:t>сублицензионного</w:t>
      </w:r>
      <w:proofErr w:type="spellEnd"/>
      <w:r w:rsidRPr="002B6F5C">
        <w:rPr>
          <w:snapToGrid w:val="0"/>
          <w:color w:val="000000"/>
        </w:rPr>
        <w:t xml:space="preserve"> договора;</w:t>
      </w:r>
      <w:r w:rsidRPr="002B6F5C">
        <w:rPr>
          <w:snapToGrid w:val="0"/>
        </w:rPr>
        <w:t xml:space="preserve"> </w:t>
      </w:r>
    </w:p>
    <w:p w:rsidR="002B6F5C" w:rsidRPr="002B6F5C" w:rsidRDefault="002B6F5C" w:rsidP="002B6F5C">
      <w:pPr>
        <w:tabs>
          <w:tab w:val="left" w:pos="284"/>
        </w:tabs>
        <w:suppressAutoHyphens/>
        <w:ind w:right="57"/>
        <w:jc w:val="both"/>
        <w:rPr>
          <w:b/>
          <w:color w:val="000000"/>
        </w:rPr>
      </w:pPr>
      <w:r w:rsidRPr="002B6F5C">
        <w:rPr>
          <w:b/>
          <w:snapToGrid w:val="0"/>
        </w:rPr>
        <w:t>Лицензия</w:t>
      </w:r>
      <w:r w:rsidRPr="002B6F5C">
        <w:rPr>
          <w:snapToGrid w:val="0"/>
        </w:rPr>
        <w:t xml:space="preserve"> – предоставленное Сублицензиатом право использования Программы, включая все входящие в неё программы, </w:t>
      </w:r>
      <w:r w:rsidRPr="002B6F5C">
        <w:t xml:space="preserve">любым способом, несколькими или всеми из указанных в настоящем Договоре </w:t>
      </w:r>
      <w:r w:rsidRPr="002B6F5C">
        <w:rPr>
          <w:snapToGrid w:val="0"/>
        </w:rPr>
        <w:t xml:space="preserve">способами (простая (неисключительная) лицензия); </w:t>
      </w:r>
    </w:p>
    <w:p w:rsidR="002B6F5C" w:rsidRPr="002B6F5C" w:rsidRDefault="002B6F5C" w:rsidP="002B6F5C">
      <w:pPr>
        <w:tabs>
          <w:tab w:val="left" w:pos="284"/>
        </w:tabs>
        <w:suppressAutoHyphens/>
        <w:ind w:right="57"/>
        <w:jc w:val="both"/>
        <w:rPr>
          <w:b/>
          <w:color w:val="000000"/>
        </w:rPr>
      </w:pPr>
      <w:r w:rsidRPr="002B6F5C">
        <w:rPr>
          <w:b/>
          <w:snapToGrid w:val="0"/>
        </w:rPr>
        <w:t>Дистрибутив Программы</w:t>
      </w:r>
      <w:r w:rsidRPr="002B6F5C">
        <w:rPr>
          <w:snapToGrid w:val="0"/>
        </w:rPr>
        <w:t xml:space="preserve"> – размещенный в сети Интернет на сайте Лицензиара набор файлов, приспособленный для распространения Программы, включающий вспомогательные инструменты для автоматизированной начальной установки и настройки Программы на персональном компьютере (далее по тексту – «ПК»);</w:t>
      </w:r>
    </w:p>
    <w:p w:rsidR="002B6F5C" w:rsidRPr="002B6F5C" w:rsidRDefault="002B6F5C" w:rsidP="002B6F5C">
      <w:pPr>
        <w:tabs>
          <w:tab w:val="left" w:pos="284"/>
        </w:tabs>
        <w:suppressAutoHyphens/>
        <w:ind w:right="57"/>
        <w:jc w:val="both"/>
        <w:rPr>
          <w:b/>
          <w:color w:val="000000"/>
        </w:rPr>
      </w:pPr>
      <w:r w:rsidRPr="002B6F5C">
        <w:rPr>
          <w:b/>
          <w:snapToGrid w:val="0"/>
        </w:rPr>
        <w:t>Адаптация Программы</w:t>
      </w:r>
      <w:r w:rsidRPr="002B6F5C">
        <w:rPr>
          <w:snapToGrid w:val="0"/>
        </w:rPr>
        <w:t xml:space="preserve"> – внесение изменений, осуществляемых исключительно в целях обеспечения функционирования Программы в полном режиме на конкретных технических средствах Пользователя; </w:t>
      </w:r>
    </w:p>
    <w:p w:rsidR="002B6F5C" w:rsidRPr="002B6F5C" w:rsidRDefault="002B6F5C" w:rsidP="002B6F5C">
      <w:pPr>
        <w:tabs>
          <w:tab w:val="left" w:pos="284"/>
        </w:tabs>
        <w:suppressAutoHyphens/>
        <w:ind w:right="57"/>
        <w:jc w:val="both"/>
        <w:rPr>
          <w:b/>
          <w:color w:val="000000"/>
        </w:rPr>
      </w:pPr>
      <w:r w:rsidRPr="002B6F5C">
        <w:rPr>
          <w:b/>
          <w:snapToGrid w:val="0"/>
        </w:rPr>
        <w:t>Обновление Программы</w:t>
      </w:r>
      <w:r w:rsidRPr="002B6F5C">
        <w:rPr>
          <w:snapToGrid w:val="0"/>
        </w:rPr>
        <w:t xml:space="preserve"> – любые изменения Программы, не являющиеся адаптацией; </w:t>
      </w:r>
    </w:p>
    <w:p w:rsidR="002B6F5C" w:rsidRPr="002B6F5C" w:rsidRDefault="002B6F5C" w:rsidP="002B6F5C">
      <w:pPr>
        <w:tabs>
          <w:tab w:val="left" w:pos="284"/>
        </w:tabs>
        <w:suppressAutoHyphens/>
        <w:ind w:right="57"/>
        <w:jc w:val="both"/>
        <w:rPr>
          <w:b/>
          <w:color w:val="000000"/>
        </w:rPr>
      </w:pPr>
      <w:r w:rsidRPr="002B6F5C">
        <w:rPr>
          <w:b/>
        </w:rPr>
        <w:lastRenderedPageBreak/>
        <w:t>Конфиденциальная информация</w:t>
      </w:r>
      <w:r w:rsidRPr="002B6F5C">
        <w:t xml:space="preserve"> - любая деловая, коммерческая, техническая и иная информация, которая не может быть известна Сторонам и/или третьим лицам из общедоступных источников, переданная одной Стороной другой Стороне в устной, письменной или любой иной форме с пометкой «конфиденциально» или с указанием того, что передаваемая информация является конфиденциальной, которая по соглашению Сторон и/или в соответствии с применимым законодательством может быть признана конфиденциальной и которая стала известной Сторонам в связи с заключением и исполнением настоящего Договора;</w:t>
      </w:r>
    </w:p>
    <w:p w:rsidR="002B6F5C" w:rsidRPr="002B6F5C" w:rsidRDefault="002B6F5C" w:rsidP="002B6F5C">
      <w:pPr>
        <w:tabs>
          <w:tab w:val="left" w:pos="284"/>
        </w:tabs>
        <w:suppressAutoHyphens/>
        <w:ind w:right="57"/>
        <w:jc w:val="both"/>
        <w:rPr>
          <w:b/>
          <w:color w:val="000000"/>
        </w:rPr>
      </w:pPr>
      <w:r w:rsidRPr="002B6F5C">
        <w:rPr>
          <w:b/>
          <w:color w:val="000000"/>
        </w:rPr>
        <w:t>Режим передачи пакета документов</w:t>
      </w:r>
      <w:r w:rsidRPr="002B6F5C">
        <w:rPr>
          <w:color w:val="000000"/>
        </w:rPr>
        <w:t xml:space="preserve"> - совокупность требований, условий и действий, выполняемых/совершаемых Пользователем в целях передачи информации (пакетов документов) в ЦИТТУ ФТС РФ для совершения таможенных процедур.</w:t>
      </w:r>
    </w:p>
    <w:p w:rsidR="002B6F5C" w:rsidRPr="002B6F5C" w:rsidRDefault="002B6F5C" w:rsidP="002B6F5C">
      <w:pPr>
        <w:tabs>
          <w:tab w:val="left" w:pos="284"/>
        </w:tabs>
        <w:suppressAutoHyphens/>
        <w:ind w:right="57"/>
        <w:jc w:val="both"/>
        <w:rPr>
          <w:b/>
          <w:color w:val="000000"/>
        </w:rPr>
      </w:pPr>
      <w:r w:rsidRPr="002B6F5C">
        <w:rPr>
          <w:b/>
        </w:rPr>
        <w:t>Отчетный период</w:t>
      </w:r>
      <w:r w:rsidRPr="002B6F5C">
        <w:t xml:space="preserve"> - календарный месяц.</w:t>
      </w:r>
    </w:p>
    <w:p w:rsidR="002B6F5C" w:rsidRPr="002B6F5C" w:rsidRDefault="002B6F5C" w:rsidP="002B6F5C">
      <w:pPr>
        <w:pStyle w:val="a3"/>
        <w:ind w:left="0"/>
      </w:pPr>
    </w:p>
    <w:p w:rsidR="002B6F5C" w:rsidRPr="002B6F5C" w:rsidRDefault="002B6F5C" w:rsidP="002B6F5C">
      <w:pPr>
        <w:tabs>
          <w:tab w:val="left" w:pos="717"/>
        </w:tabs>
        <w:suppressAutoHyphens/>
        <w:spacing w:after="120"/>
        <w:jc w:val="center"/>
        <w:rPr>
          <w:b/>
          <w:color w:val="000000"/>
        </w:rPr>
      </w:pPr>
      <w:r w:rsidRPr="002B6F5C">
        <w:rPr>
          <w:b/>
          <w:color w:val="000000"/>
        </w:rPr>
        <w:t>2. Предмет Договора</w:t>
      </w:r>
    </w:p>
    <w:p w:rsidR="002B6F5C" w:rsidRPr="002B6F5C" w:rsidRDefault="002B6F5C" w:rsidP="002B6F5C">
      <w:pPr>
        <w:jc w:val="both"/>
      </w:pPr>
      <w:r w:rsidRPr="002B6F5C">
        <w:t>2.1. По настоящему Договору Сублицензиат предоставляет Пользователю за ежемесячное лицензионное вознаграждение право использования Программы способами, определенными Договором, в течение срока действия Договора. К разрешенным способам относятся: активация, воспроизведение Программы; запуск в работу; обновление и работа с Программой (т.е. использование Программы в соответствии с её функциональными возможностями и с извлечением её полезных потребительских свойств).</w:t>
      </w:r>
    </w:p>
    <w:p w:rsidR="002B6F5C" w:rsidRPr="002B6F5C" w:rsidRDefault="002B6F5C" w:rsidP="002B6F5C">
      <w:pPr>
        <w:jc w:val="both"/>
      </w:pPr>
      <w:r w:rsidRPr="002B6F5C">
        <w:t>2.2. Использование Программы осуществляется при наличии доступа к сети Интернет посредством ввода Пользователем учётных данных (логина и пароля). Пользователь самостоятельно получает и оплачивает доступ к сети интернет на условиях и по тарифам своего оператора связи или провайдера доступа к сети Интернет.</w:t>
      </w:r>
    </w:p>
    <w:p w:rsidR="002B6F5C" w:rsidRDefault="002B6F5C" w:rsidP="002B6F5C">
      <w:pPr>
        <w:spacing w:after="120"/>
        <w:jc w:val="center"/>
        <w:rPr>
          <w:b/>
        </w:rPr>
      </w:pPr>
    </w:p>
    <w:p w:rsidR="002B6F5C" w:rsidRPr="002B6F5C" w:rsidRDefault="002B6F5C" w:rsidP="002B6F5C">
      <w:pPr>
        <w:spacing w:after="120"/>
        <w:jc w:val="center"/>
        <w:rPr>
          <w:b/>
        </w:rPr>
      </w:pPr>
      <w:r w:rsidRPr="002B6F5C">
        <w:rPr>
          <w:b/>
        </w:rPr>
        <w:t>3. Права и обязанности Сторон</w:t>
      </w:r>
    </w:p>
    <w:p w:rsidR="002B6F5C" w:rsidRPr="002B6F5C" w:rsidRDefault="002B6F5C" w:rsidP="002B6F5C">
      <w:pPr>
        <w:spacing w:after="120"/>
        <w:rPr>
          <w:b/>
          <w:u w:val="single"/>
        </w:rPr>
      </w:pPr>
      <w:r w:rsidRPr="002B6F5C">
        <w:rPr>
          <w:b/>
          <w:u w:val="single"/>
        </w:rPr>
        <w:t>3.1. Права и обязанности Сублицензиата:</w:t>
      </w:r>
    </w:p>
    <w:p w:rsidR="002B6F5C" w:rsidRPr="002B6F5C" w:rsidRDefault="002B6F5C" w:rsidP="002B6F5C">
      <w:pPr>
        <w:tabs>
          <w:tab w:val="num" w:pos="426"/>
        </w:tabs>
        <w:jc w:val="both"/>
        <w:rPr>
          <w:noProof/>
        </w:rPr>
      </w:pPr>
      <w:r w:rsidRPr="002B6F5C">
        <w:rPr>
          <w:noProof/>
        </w:rPr>
        <w:t>3.1.1 Предоставить Пользователю право использования Программы в течение определенного Договором срока на условиях простой (неисключительной) лицензии.</w:t>
      </w:r>
    </w:p>
    <w:p w:rsidR="002B6F5C" w:rsidRPr="002B6F5C" w:rsidRDefault="002B6F5C" w:rsidP="002B6F5C">
      <w:pPr>
        <w:tabs>
          <w:tab w:val="num" w:pos="426"/>
        </w:tabs>
        <w:jc w:val="both"/>
        <w:rPr>
          <w:noProof/>
        </w:rPr>
      </w:pPr>
      <w:r w:rsidRPr="002B6F5C">
        <w:rPr>
          <w:noProof/>
        </w:rPr>
        <w:t>3.1.2. Предоставить в течение трех рабочих дней с даты получения заявления на подключение логин и пароль для доступа (подключения) Пользователя к Программе.</w:t>
      </w:r>
    </w:p>
    <w:p w:rsidR="002B6F5C" w:rsidRPr="002B6F5C" w:rsidRDefault="002B6F5C" w:rsidP="002B6F5C">
      <w:pPr>
        <w:tabs>
          <w:tab w:val="num" w:pos="426"/>
        </w:tabs>
        <w:jc w:val="both"/>
        <w:rPr>
          <w:noProof/>
        </w:rPr>
      </w:pPr>
      <w:r w:rsidRPr="002B6F5C">
        <w:rPr>
          <w:noProof/>
        </w:rPr>
        <w:t>3.1.3. Обеспечить возможность получения Пользователем консультаций по вопросам функционирования Программы: в рабочие дни в период с 09 ч. 00 мин. до 18 ч. 00 мин. по владивостокскому времени; в выходные и праздничные дни в период с 10 ч. 00 мин. до 18 ч. 00 мин. по владивостокскому времени. Сублицензиат также оказывает поддержку по вопросам функционирования Программы путем ответа на запросы Пользователя, направляемые им на адрес электронной почты Сублицензиата: support@deklarant.ru. Срок реакции Сублицензиата на запрос Пользователя – не позднее 1 (одного) рабочего дня, следующего за днем направления запроса; время решения вопроса будет зависеть от его сложности и определяется Сублицензиатом самостоятельно после получения им от Пользователя всей имеющейся у него информации по заданному вопросу.</w:t>
      </w:r>
    </w:p>
    <w:p w:rsidR="002B6F5C" w:rsidRPr="002B6F5C" w:rsidRDefault="002B6F5C" w:rsidP="002B6F5C">
      <w:pPr>
        <w:tabs>
          <w:tab w:val="num" w:pos="426"/>
        </w:tabs>
        <w:jc w:val="both"/>
        <w:rPr>
          <w:noProof/>
        </w:rPr>
      </w:pPr>
      <w:r w:rsidRPr="002B6F5C">
        <w:rPr>
          <w:noProof/>
        </w:rPr>
        <w:t>3.1.4. В течение срока действия Договора в целях поддержания актуального состояния Программы регулярно обновлять (модифицировать), в том числе путем включения в неё дополнительных модулей, компонентов и служб. Обновление является неотъемлемой частью Программы, поэтому действие Договора распространяется на любое обновление.</w:t>
      </w:r>
    </w:p>
    <w:p w:rsidR="002B6F5C" w:rsidRPr="002B6F5C" w:rsidRDefault="002B6F5C" w:rsidP="002B6F5C">
      <w:pPr>
        <w:tabs>
          <w:tab w:val="num" w:pos="426"/>
        </w:tabs>
        <w:jc w:val="both"/>
        <w:rPr>
          <w:noProof/>
        </w:rPr>
      </w:pPr>
      <w:r w:rsidRPr="002B6F5C">
        <w:rPr>
          <w:noProof/>
        </w:rPr>
        <w:t xml:space="preserve">3.1.5. Сублицензиат обязан соблюдать конфиденциальность учетных данных Пользователя. Сублицензиат имеет доступ к информации Пользователя в целях технического обеспечения работы Программы, а также имеет право на доступ к такой информации в случаях получения претензий от третьих лиц, касающихся противозаконных и/или вредоносных, а также иных действий Пользователя, наносящих вред Сублицензиату и/или третьим лицам. Сублицензиат вправе сообщить вышеуказанные данные только компетентным государственным органам в случаях, предусмотренных действующим законодательством РФ. Резервное копирование </w:t>
      </w:r>
      <w:r w:rsidRPr="002B6F5C">
        <w:rPr>
          <w:noProof/>
        </w:rPr>
        <w:lastRenderedPageBreak/>
        <w:t>данных Пользователя в целях предотвращения потери информации не является нарушением конфиденциальности информации Пользователя.</w:t>
      </w:r>
    </w:p>
    <w:p w:rsidR="002B6F5C" w:rsidRPr="002B6F5C" w:rsidRDefault="002B6F5C" w:rsidP="002B6F5C">
      <w:pPr>
        <w:tabs>
          <w:tab w:val="num" w:pos="426"/>
        </w:tabs>
        <w:jc w:val="both"/>
        <w:rPr>
          <w:noProof/>
        </w:rPr>
      </w:pPr>
      <w:r w:rsidRPr="002B6F5C">
        <w:rPr>
          <w:noProof/>
        </w:rPr>
        <w:t xml:space="preserve">3.1.6. В случае неисполнения или ненадлежащего исполнения Пользователем обязанности по оплате лицензии Сублицензиат имеет право без предварительного уведомления заблокировать доступ Пользователя к лицензии до надлежащего исполнения своих обязанностей. </w:t>
      </w:r>
    </w:p>
    <w:p w:rsidR="002B6F5C" w:rsidRPr="002B6F5C" w:rsidRDefault="002B6F5C" w:rsidP="002B6F5C">
      <w:pPr>
        <w:tabs>
          <w:tab w:val="num" w:pos="426"/>
        </w:tabs>
        <w:jc w:val="both"/>
        <w:rPr>
          <w:noProof/>
        </w:rPr>
      </w:pPr>
      <w:r w:rsidRPr="002B6F5C">
        <w:rPr>
          <w:noProof/>
        </w:rPr>
        <w:t>3.1.7. Сублицензиат вправе приостановить лицензию и/или расторгнуть Договор в одностороннем порядке в случае, если допущены нарушения условий заключенного Договора. В случае отказа Сублицензиата от Договора в одностороннем порядке Договор прекращает свое действие с даты, указанной в уведомлении Сублицензиата, направленном в адрес Пользователя.</w:t>
      </w:r>
    </w:p>
    <w:p w:rsidR="002B6F5C" w:rsidRPr="002B6F5C" w:rsidRDefault="002B6F5C" w:rsidP="002B6F5C">
      <w:pPr>
        <w:tabs>
          <w:tab w:val="num" w:pos="426"/>
        </w:tabs>
        <w:jc w:val="both"/>
        <w:rPr>
          <w:noProof/>
        </w:rPr>
      </w:pPr>
      <w:r w:rsidRPr="002B6F5C">
        <w:rPr>
          <w:noProof/>
        </w:rPr>
        <w:t>3.1.8. Сублицензиат вправе временно приостановить лицензию Пользователю по Договору по техническим, технологическим или иным причинам, на время устранения таких причин.</w:t>
      </w:r>
    </w:p>
    <w:p w:rsidR="002B6F5C" w:rsidRPr="002B6F5C" w:rsidRDefault="002B6F5C" w:rsidP="002B6F5C">
      <w:pPr>
        <w:tabs>
          <w:tab w:val="num" w:pos="426"/>
        </w:tabs>
        <w:jc w:val="both"/>
      </w:pPr>
    </w:p>
    <w:p w:rsidR="002B6F5C" w:rsidRPr="002B6F5C" w:rsidRDefault="002B6F5C" w:rsidP="002B6F5C">
      <w:pPr>
        <w:spacing w:after="120"/>
        <w:rPr>
          <w:b/>
          <w:u w:val="single"/>
        </w:rPr>
      </w:pPr>
      <w:r w:rsidRPr="002B6F5C">
        <w:rPr>
          <w:b/>
          <w:u w:val="single"/>
        </w:rPr>
        <w:t>3.2. Права и обязанности Пользователя:</w:t>
      </w:r>
    </w:p>
    <w:p w:rsidR="002B6F5C" w:rsidRPr="002B6F5C" w:rsidRDefault="002B6F5C" w:rsidP="002B6F5C">
      <w:pPr>
        <w:pStyle w:val="Default"/>
        <w:jc w:val="both"/>
        <w:rPr>
          <w:color w:val="auto"/>
        </w:rPr>
      </w:pPr>
      <w:r w:rsidRPr="002B6F5C">
        <w:rPr>
          <w:color w:val="auto"/>
        </w:rPr>
        <w:t>3.2.1. Пользователь самостоятельно и в полном объёме несёт ответственность за использование и сохранность своих учетных данных, Пользователь не имеет права получать учетные данные для третьих лиц, передавать или предоставлять их третьим лицам. Сублицензиат не несёт ответственности за несанкционированное использование учетных данных третьими лицами. Все действия, совершенные по Программе с использованием принадлежащих Пользователю учетных данных, считаются совершенными Пользователем.</w:t>
      </w:r>
    </w:p>
    <w:p w:rsidR="002B6F5C" w:rsidRPr="002B6F5C" w:rsidRDefault="002B6F5C" w:rsidP="002B6F5C">
      <w:pPr>
        <w:pStyle w:val="Default"/>
        <w:jc w:val="both"/>
        <w:rPr>
          <w:color w:val="auto"/>
        </w:rPr>
      </w:pPr>
      <w:r w:rsidRPr="002B6F5C">
        <w:rPr>
          <w:color w:val="auto"/>
        </w:rPr>
        <w:t>3.2.2. Пользователь обязан обеспечить наличие на рабочих местах аппаратного и программного обеспечения, необходимого и достаточного для установки программного модуля для взаимодействия с Программой.</w:t>
      </w:r>
    </w:p>
    <w:p w:rsidR="002B6F5C" w:rsidRPr="002B6F5C" w:rsidRDefault="002B6F5C" w:rsidP="002B6F5C">
      <w:pPr>
        <w:pStyle w:val="Default"/>
        <w:jc w:val="both"/>
        <w:rPr>
          <w:color w:val="auto"/>
        </w:rPr>
      </w:pPr>
      <w:r w:rsidRPr="002B6F5C">
        <w:rPr>
          <w:color w:val="auto"/>
        </w:rPr>
        <w:t>3.2.3. Пользователь обязан использовать Программу в порядке, установленном Договором; для обеспечения взаимодействия с Программой с помощью своих аппаратных средств осуществлять настройку установленного у него программного модуля исключительно при помощи команд настройки, содержащихся в Программе.</w:t>
      </w:r>
    </w:p>
    <w:p w:rsidR="002B6F5C" w:rsidRPr="002B6F5C" w:rsidRDefault="002B6F5C" w:rsidP="002B6F5C">
      <w:pPr>
        <w:pStyle w:val="Default"/>
        <w:jc w:val="both"/>
        <w:rPr>
          <w:color w:val="auto"/>
        </w:rPr>
      </w:pPr>
      <w:r w:rsidRPr="002B6F5C">
        <w:rPr>
          <w:color w:val="auto"/>
        </w:rPr>
        <w:t>3.2.4. Пользователь обязан формировать в электронном виде сведения о товарах и транспортных средствах по форме, размещенной в Программе.</w:t>
      </w:r>
    </w:p>
    <w:p w:rsidR="002B6F5C" w:rsidRPr="002B6F5C" w:rsidRDefault="002B6F5C" w:rsidP="002B6F5C">
      <w:pPr>
        <w:pStyle w:val="Default"/>
        <w:jc w:val="both"/>
        <w:rPr>
          <w:color w:val="auto"/>
        </w:rPr>
      </w:pPr>
      <w:r w:rsidRPr="002B6F5C">
        <w:rPr>
          <w:color w:val="auto"/>
        </w:rPr>
        <w:t>3.2.5. Пользователь обязан обеспечить конфиденциальность полученных от Сублицензиата сведений (логин и пароль), необходимых для взаимодействия с Программой.</w:t>
      </w:r>
    </w:p>
    <w:p w:rsidR="002B6F5C" w:rsidRPr="002B6F5C" w:rsidRDefault="002B6F5C" w:rsidP="002B6F5C">
      <w:pPr>
        <w:pStyle w:val="Default"/>
        <w:jc w:val="both"/>
        <w:rPr>
          <w:color w:val="auto"/>
        </w:rPr>
      </w:pPr>
      <w:r w:rsidRPr="002B6F5C">
        <w:rPr>
          <w:color w:val="auto"/>
        </w:rPr>
        <w:t>3.2.6. Пользователь не вправе вносить изменения и дополнения в Программу и её компоненты, кроме обновления Программы, её отдельных модулей через дистрибутивы или файлы обновления, предоставляемые Сублицензиатом.</w:t>
      </w:r>
    </w:p>
    <w:p w:rsidR="002B6F5C" w:rsidRPr="002B6F5C" w:rsidRDefault="002B6F5C" w:rsidP="002B6F5C">
      <w:pPr>
        <w:pStyle w:val="Default"/>
        <w:jc w:val="both"/>
        <w:rPr>
          <w:color w:val="auto"/>
        </w:rPr>
      </w:pPr>
      <w:r w:rsidRPr="002B6F5C">
        <w:rPr>
          <w:color w:val="auto"/>
        </w:rPr>
        <w:t>3.2.7. Стороны обязуются не разглашать и не использовать в своих интересах, равно как и в интересах любых третьих лиц, конфиденциальную информацию как в течение срока действия Договора, так и в течение трех лет после прекращения его действия по любому основанию. Информация об условиях Договора является конфиденциальной. Передача какой-либо из Сторон конфиденциальной информации третьим лицам возможна только после согласования с другой Стороной за исключением случаев, когда обязанность предоставлять указанные сведения правоохранительным, налоговым, таможенным и иным государственным контролирующим органам, аффилированным лицам установлена законодательством Российской Федерации, а также когда Сторона обязана предоставлять указанные сведения третьим лицам в целях исполнения своих обязательств по Договору.</w:t>
      </w:r>
    </w:p>
    <w:p w:rsidR="002B6F5C" w:rsidRPr="002B6F5C" w:rsidRDefault="002B6F5C" w:rsidP="002B6F5C">
      <w:pPr>
        <w:pStyle w:val="Default"/>
        <w:jc w:val="both"/>
        <w:rPr>
          <w:color w:val="auto"/>
        </w:rPr>
      </w:pPr>
      <w:r w:rsidRPr="002B6F5C">
        <w:rPr>
          <w:color w:val="auto"/>
        </w:rPr>
        <w:t>3.2.8. Пользователь вправе отказаться от использования Программы, предварительно уведомив об этом Сублицензиата официальным письмом на бланке организации с указанием причины отказа. Скан-копия письма направляется на адрес электронной почты Сублицензиата, указанной в разделе 9 настоящего Договора. Договор прекращает свое действие с даты, указанной в уведомлении этой Стороны, направленном в адрес другой Стороны Договора. Прекращение действия Договора по любому основанию не освобождает Пользователя от обязанности уплатить фиксированную часть лицензионного вознаграждения за отчетный период и дополнительное лицензионное вознаграждение согласно п. 4.2 Договора.</w:t>
      </w:r>
    </w:p>
    <w:p w:rsidR="002B6F5C" w:rsidRPr="002B6F5C" w:rsidRDefault="002B6F5C" w:rsidP="002B6F5C">
      <w:pPr>
        <w:pStyle w:val="Default"/>
        <w:jc w:val="both"/>
        <w:rPr>
          <w:color w:val="auto"/>
        </w:rPr>
      </w:pPr>
      <w:r w:rsidRPr="002B6F5C">
        <w:rPr>
          <w:color w:val="auto"/>
        </w:rPr>
        <w:lastRenderedPageBreak/>
        <w:t>3.2.9.</w:t>
      </w:r>
      <w:r w:rsidRPr="002B6F5C">
        <w:t xml:space="preserve"> </w:t>
      </w:r>
      <w:r w:rsidRPr="002B6F5C">
        <w:rPr>
          <w:color w:val="auto"/>
        </w:rPr>
        <w:t>Пользователь не вправе вносить изменения и дополнения в Программу и в её компоненты, кроме обновления Программы через дистрибутивы или файлы обновления, предоставляемые Сублицензиатом.</w:t>
      </w:r>
    </w:p>
    <w:p w:rsidR="005F5DB7" w:rsidRPr="002B6F5C" w:rsidRDefault="002B6F5C" w:rsidP="002B6F5C">
      <w:pPr>
        <w:jc w:val="both"/>
      </w:pPr>
      <w:r w:rsidRPr="002B6F5C">
        <w:t>3.2.10. Пользователь обязан самостоятельно следить за изменениями Договора  путем периодического ознакомления с актуальной редакцией, не менее одного раза в месяц. Пользователь самостоятельно отвечает за любые последствия, наступившие в связи с не ознакомлением с актуальной редакцией договора.</w:t>
      </w:r>
    </w:p>
    <w:p w:rsidR="002B6F5C" w:rsidRPr="002B6F5C" w:rsidRDefault="002B6F5C" w:rsidP="002B6F5C">
      <w:pPr>
        <w:jc w:val="both"/>
      </w:pPr>
    </w:p>
    <w:p w:rsidR="002B6F5C" w:rsidRPr="002B6F5C" w:rsidRDefault="002B6F5C" w:rsidP="002B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B6F5C">
        <w:rPr>
          <w:b/>
        </w:rPr>
        <w:t>4.Условия и порядок расчетов.</w:t>
      </w:r>
    </w:p>
    <w:p w:rsidR="002B6F5C" w:rsidRPr="002B6F5C" w:rsidRDefault="002B6F5C" w:rsidP="002B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B6F5C" w:rsidRPr="002B6F5C" w:rsidRDefault="002B6F5C" w:rsidP="002B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5C">
        <w:t>4.1. За предоставленное право использования Программы Пользователь уплачивает Сублицензиату лицензионное вознаграждение, размер которого состоит из двух частей и ежемесячно определяется на основании утвержденного Сублицензиатом в одностороннем порядке Прейскуранта, являющегося неотъемлемой частью Договора (Приложение №</w:t>
      </w:r>
      <w:r>
        <w:t>2</w:t>
      </w:r>
      <w:r w:rsidRPr="002B6F5C">
        <w:t xml:space="preserve">). </w:t>
      </w:r>
    </w:p>
    <w:p w:rsidR="002B6F5C" w:rsidRPr="002B6F5C" w:rsidRDefault="002B6F5C" w:rsidP="002B6F5C">
      <w:pPr>
        <w:jc w:val="both"/>
        <w:rPr>
          <w:spacing w:val="5"/>
        </w:rPr>
      </w:pPr>
      <w:r w:rsidRPr="002B6F5C">
        <w:t>4.2.</w:t>
      </w:r>
      <w:r w:rsidRPr="002B6F5C">
        <w:rPr>
          <w:b/>
        </w:rPr>
        <w:t xml:space="preserve"> Первая часть</w:t>
      </w:r>
      <w:r w:rsidRPr="002B6F5C">
        <w:t xml:space="preserve"> лицензионного вознаграждения за право использования Программы рассчитывается в зависимости от используемого Тарифа и количества учетных записей (аккаунтов), которые использовались сотрудниками Пользователя для передачи пакетов в ЦИИТУ ФТС РФ с помощью Программы. Тариф определяется согласно условиям, указанным в таблице 1 Приложения № 2 к настоящему Договору. При уплате первой части лицензионного вознаграждения неполный месяц считается за полный независимо от даты фактического предоставления права использования Программы.</w:t>
      </w:r>
    </w:p>
    <w:p w:rsidR="002B6F5C" w:rsidRPr="002B6F5C" w:rsidRDefault="002B6F5C" w:rsidP="002B6F5C">
      <w:pPr>
        <w:jc w:val="both"/>
        <w:rPr>
          <w:spacing w:val="5"/>
        </w:rPr>
      </w:pPr>
      <w:r w:rsidRPr="002B6F5C">
        <w:rPr>
          <w:b/>
          <w:spacing w:val="5"/>
        </w:rPr>
        <w:t>Вторая часть</w:t>
      </w:r>
      <w:r w:rsidRPr="002B6F5C">
        <w:rPr>
          <w:spacing w:val="5"/>
        </w:rPr>
        <w:t xml:space="preserve"> лицензионного вознаграждения рассчитывается на основании количества пакетов документов, переданных за отчетный период, в ЦИТТУ ФТС РФ с помощью Программы (Таблица 2 в Приложение №2). Расчет производится исходя из количества пакетов документов, обработка которых успешно завершена таможней, о чем получено соответствующее уведомление от таможенного органа. </w:t>
      </w:r>
    </w:p>
    <w:p w:rsidR="002B6F5C" w:rsidRPr="002B6F5C" w:rsidRDefault="002B6F5C" w:rsidP="002B6F5C">
      <w:pPr>
        <w:jc w:val="both"/>
        <w:rPr>
          <w:spacing w:val="5"/>
        </w:rPr>
      </w:pPr>
      <w:r w:rsidRPr="002B6F5C">
        <w:rPr>
          <w:spacing w:val="5"/>
        </w:rPr>
        <w:t xml:space="preserve">4.3. Сублицензиат применяет Упрощённую систему налогообложения, лицензионное вознаграждение не облагается НДС в связи с применением норм </w:t>
      </w:r>
      <w:proofErr w:type="spellStart"/>
      <w:r w:rsidRPr="002B6F5C">
        <w:rPr>
          <w:spacing w:val="5"/>
        </w:rPr>
        <w:t>пп</w:t>
      </w:r>
      <w:proofErr w:type="spellEnd"/>
      <w:r w:rsidRPr="002B6F5C">
        <w:rPr>
          <w:spacing w:val="5"/>
        </w:rPr>
        <w:t xml:space="preserve">. 26 п. 2 ст. 149 Налогового Кодекса Российской Федерации. </w:t>
      </w:r>
    </w:p>
    <w:p w:rsidR="002B6F5C" w:rsidRPr="002B6F5C" w:rsidRDefault="002B6F5C" w:rsidP="002B6F5C">
      <w:pPr>
        <w:jc w:val="both"/>
        <w:rPr>
          <w:spacing w:val="5"/>
        </w:rPr>
      </w:pPr>
      <w:r w:rsidRPr="002B6F5C">
        <w:rPr>
          <w:spacing w:val="5"/>
        </w:rPr>
        <w:t>4.4. Размер лицензионного вознаграждения может быть изменен Сублицензиатом в одностороннем порядке путем утверждения нового Прейскуранта и публикацией его на сайте www.deklarant.ru не позднее, чем за 15 (пятнадцать) календарных дней до введения в действие новых условий оплаты.</w:t>
      </w:r>
      <w:r w:rsidRPr="002B6F5C">
        <w:t xml:space="preserve"> </w:t>
      </w:r>
      <w:r w:rsidRPr="002B6F5C">
        <w:rPr>
          <w:spacing w:val="5"/>
        </w:rPr>
        <w:t>Оплата Пользователем лицензионного вознаграждения по новому Прейскуранту означает его согласие с новым лицензионным вознаграждением. В случае несогласия Пользователя с новыми ценами он письменно информирует Сублицензиата о расторжении Договора. В этом случае Договор считается прекратившим своё действие по инициативе Пользователя с даты введения в действие нового Прейскуранта, указанной в нем. Такое уведомление не освобождает Пользователя от уплаты лицензионного вознаграждения по предыдущему Прейскуранту до момента, когда им направлено уведомление о расторжении Договора.</w:t>
      </w:r>
    </w:p>
    <w:p w:rsidR="002B6F5C" w:rsidRPr="002B6F5C" w:rsidRDefault="002B6F5C" w:rsidP="002B6F5C">
      <w:pPr>
        <w:jc w:val="both"/>
        <w:rPr>
          <w:spacing w:val="5"/>
        </w:rPr>
      </w:pPr>
      <w:r w:rsidRPr="002B6F5C">
        <w:rPr>
          <w:spacing w:val="5"/>
        </w:rPr>
        <w:t xml:space="preserve">4.5. </w:t>
      </w:r>
      <w:r w:rsidRPr="002B6F5C">
        <w:t xml:space="preserve">Пользователь уплачивает лицензионное вознаграждение в течение </w:t>
      </w:r>
      <w:r>
        <w:t>5</w:t>
      </w:r>
      <w:r w:rsidRPr="002B6F5C">
        <w:t xml:space="preserve"> (</w:t>
      </w:r>
      <w:r>
        <w:t>пяти</w:t>
      </w:r>
      <w:r w:rsidRPr="002B6F5C">
        <w:t>) рабочих дней с даты выставления счета</w:t>
      </w:r>
      <w:r>
        <w:t>-оферты</w:t>
      </w:r>
      <w:r w:rsidRPr="002B6F5C">
        <w:t xml:space="preserve"> Сублицензиатом путем перечисления денежных средств на расчетный счет Сублицензиата. Датой уплаты лицензионного вознаграждения Стороны считают дату зачисления денежных средств в полном объеме на расчетный счет Сублицензиата. </w:t>
      </w:r>
    </w:p>
    <w:p w:rsidR="002B6F5C" w:rsidRPr="002B6F5C" w:rsidRDefault="002B6F5C" w:rsidP="002B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5C">
        <w:t>4.6. В течение пяти рабочих дней Сублицензиат  предоставляет Счет</w:t>
      </w:r>
      <w:r>
        <w:t>-оферту</w:t>
      </w:r>
      <w:r w:rsidRPr="002B6F5C">
        <w:t xml:space="preserve"> и УПД Пользователю; в течение следующих пяти рабочих дней стороны урегулируют все разногласия (при их наличии) по УПД. Если в течение данного периода времени Пользователь не сообщил о неполучении УПД, не подписал УПД и не представил мотивированный отказ от его подписания, считается, что лицензия в объеме, указанном в УПД предоставлена Сублицензиатом надлежащим образом и принята Пользователем.</w:t>
      </w:r>
    </w:p>
    <w:p w:rsidR="002B6F5C" w:rsidRPr="002B6F5C" w:rsidRDefault="002B6F5C" w:rsidP="002B6F5C">
      <w:pPr>
        <w:jc w:val="both"/>
        <w:rPr>
          <w:spacing w:val="5"/>
        </w:rPr>
      </w:pPr>
      <w:r w:rsidRPr="002B6F5C">
        <w:rPr>
          <w:spacing w:val="5"/>
        </w:rPr>
        <w:t xml:space="preserve">4.7. Обмен документами, необходимыми для исполнения Договора допускается производить в электронном виде, заверяя документы с каждой стороны усиленной </w:t>
      </w:r>
      <w:r w:rsidRPr="002B6F5C">
        <w:rPr>
          <w:spacing w:val="5"/>
        </w:rPr>
        <w:lastRenderedPageBreak/>
        <w:t>квалифицированной подписью (в соответствии с Федеральным законом №63-ФЗ "Об электронной подписи" от 06.04.2011г.), уполномоченного лица Стороны при помощи сертифицированных средств криптографической защиты информации (в том числе и через системы электронного документооборота) в соответствии с действующим законодательством РФ.</w:t>
      </w:r>
    </w:p>
    <w:p w:rsidR="002B6F5C" w:rsidRPr="002B6F5C" w:rsidRDefault="002B6F5C" w:rsidP="002B6F5C">
      <w:pPr>
        <w:jc w:val="both"/>
        <w:rPr>
          <w:spacing w:val="5"/>
        </w:rPr>
      </w:pPr>
    </w:p>
    <w:p w:rsidR="002B6F5C" w:rsidRPr="002B6F5C" w:rsidRDefault="002B6F5C" w:rsidP="002B6F5C">
      <w:pPr>
        <w:autoSpaceDE w:val="0"/>
        <w:autoSpaceDN w:val="0"/>
        <w:adjustRightInd w:val="0"/>
        <w:spacing w:after="120"/>
        <w:ind w:left="540"/>
        <w:jc w:val="center"/>
        <w:rPr>
          <w:b/>
        </w:rPr>
      </w:pPr>
      <w:r w:rsidRPr="002B6F5C">
        <w:rPr>
          <w:b/>
        </w:rPr>
        <w:t>5. Ответственность сторон.</w:t>
      </w:r>
    </w:p>
    <w:p w:rsidR="002B6F5C" w:rsidRPr="002B6F5C" w:rsidRDefault="002B6F5C" w:rsidP="002B6F5C">
      <w:pPr>
        <w:autoSpaceDE w:val="0"/>
        <w:autoSpaceDN w:val="0"/>
        <w:adjustRightInd w:val="0"/>
        <w:jc w:val="both"/>
      </w:pPr>
      <w:r w:rsidRPr="002B6F5C">
        <w:t xml:space="preserve">5.1. Сублицензиат гарантирует работоспособность и техническое сопровождение Программы и её компонентов при условии невнесения Пользователем изменений в Программу. </w:t>
      </w:r>
    </w:p>
    <w:p w:rsidR="002B6F5C" w:rsidRPr="002B6F5C" w:rsidRDefault="002B6F5C" w:rsidP="002B6F5C">
      <w:pPr>
        <w:autoSpaceDE w:val="0"/>
        <w:autoSpaceDN w:val="0"/>
        <w:adjustRightInd w:val="0"/>
        <w:jc w:val="both"/>
      </w:pPr>
      <w:r w:rsidRPr="002B6F5C">
        <w:t>5.2.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2B6F5C" w:rsidRPr="002B6F5C" w:rsidRDefault="002B6F5C" w:rsidP="002B6F5C">
      <w:pPr>
        <w:autoSpaceDE w:val="0"/>
        <w:autoSpaceDN w:val="0"/>
        <w:adjustRightInd w:val="0"/>
        <w:jc w:val="both"/>
      </w:pPr>
      <w:r w:rsidRPr="002B6F5C">
        <w:t>5.3. В случае если надлежащее исполнение сторонами настоящих Условий невозможно в силу объективных причин, которые Стороны не могли ни предвидеть, ни предотвратить (стихийные бедствия, изменения текущего законодательства РФ, действия органов государственной власти и управления, военные действия всех видов и т. д.), ни одна из сторон не вправе требовать от другой стороны возмещения причиненных ненадлежащим исполнением или неисполнением настоящего договора убытков (включая упущенную выгоду).</w:t>
      </w:r>
    </w:p>
    <w:p w:rsidR="002B6F5C" w:rsidRPr="002B6F5C" w:rsidRDefault="002B6F5C" w:rsidP="002B6F5C">
      <w:pPr>
        <w:autoSpaceDE w:val="0"/>
        <w:autoSpaceDN w:val="0"/>
        <w:adjustRightInd w:val="0"/>
        <w:jc w:val="both"/>
      </w:pPr>
      <w:r w:rsidRPr="002B6F5C">
        <w:t>5.4. Сублицензиат не несет ответственности за сбои в работе Программы, вызванные несоблюдением правил её использования, неполадками в работе компьютерной техники Пользователя, неполадками на сервере Интернет-провайдера либо хостинг-провайдера Пользователя, неполадками в работе транспортной системы Федеральной Таможенной Службы Российской Федерации. Все уведомления о сбоях в работе Программы представитель Пользователя обязан направлять в письменной форме, при этом письменной формой документа в рамках Договора признаются документы, переданные как на бумажном носителе, так и в электронной форме. Указанные уведомления могут направляться Сублицензиату Почтой России, или по электронной почте, по адресу, указанному в разделе 7 Договора. В случае необходимости экстренного решения вопроса, связанного со сбоем в работе Программы, Пользователь вправе сообщить об этом Сублицензиату  по телефону, указанному в разделе 7 Договора, с последующим направлением письменного уведомления на электронную почту.</w:t>
      </w:r>
    </w:p>
    <w:p w:rsidR="002B6F5C" w:rsidRPr="002B6F5C" w:rsidRDefault="002B6F5C" w:rsidP="002B6F5C">
      <w:pPr>
        <w:jc w:val="both"/>
      </w:pPr>
      <w:r w:rsidRPr="002B6F5C">
        <w:t>5.5. Сублицензиат не несет ответственность перед Пользователем за достоверность сведений, полученных Пользователем при взаимодействии с Таможенными органами.</w:t>
      </w:r>
    </w:p>
    <w:p w:rsidR="002B6F5C" w:rsidRPr="002B6F5C" w:rsidRDefault="002B6F5C" w:rsidP="002B6F5C">
      <w:pPr>
        <w:jc w:val="both"/>
      </w:pPr>
      <w:r w:rsidRPr="002B6F5C">
        <w:t>5.6.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форс-мажорных обстоятельств непреодолимой силы, за которые Стороны не отвечают, и предотвратить неблагоприятное воздействие которых они не имеют возможности.</w:t>
      </w:r>
    </w:p>
    <w:p w:rsidR="002B6F5C" w:rsidRPr="002B6F5C" w:rsidRDefault="002B6F5C" w:rsidP="002B6F5C">
      <w:pPr>
        <w:spacing w:after="120"/>
        <w:contextualSpacing/>
        <w:jc w:val="both"/>
      </w:pPr>
      <w:r w:rsidRPr="002B6F5C">
        <w:t>5.7.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B6F5C" w:rsidRPr="002B6F5C" w:rsidRDefault="002B6F5C" w:rsidP="002B6F5C">
      <w:pPr>
        <w:contextualSpacing/>
        <w:jc w:val="both"/>
      </w:pPr>
      <w:r w:rsidRPr="002B6F5C">
        <w:t xml:space="preserve">5.8. Ни одна из Сторон не вправе предъявлять претензии к другой стороне за неисполнение или ненадлежащее исполнение своих обязательств по Договору, если такое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не исполнившая свои обязательства Сторона не могла ни предвидеть, ни предотвратить, в том числе: стихийных бедствий - пожара, наводнения, землетрясения, урагана, шторма и др.; террористических актов, военных действий любого характера, различных народных волнений, действий органов государственной власти и управления (в том числе изменения законодательства), если они непосредственно затрагивают предмет настоящего Договора, перепадов электрического напряжения в сети и иных обстоятельств, приведших к выходу из строя технических средств какой-либо Стороны, и т.п., если указанные обстоятельства препятствуют надлежащему исполнению Сторонами своих обязательств по настоящему договору. </w:t>
      </w:r>
    </w:p>
    <w:p w:rsidR="002B6F5C" w:rsidRPr="002B6F5C" w:rsidRDefault="002B6F5C" w:rsidP="002B6F5C">
      <w:pPr>
        <w:jc w:val="both"/>
      </w:pPr>
      <w:r w:rsidRPr="002B6F5C">
        <w:lastRenderedPageBreak/>
        <w:t xml:space="preserve">Сторона, для которой создалась ситуация, при которой стало невозможно исполнять свои обязательства из-за наступления обстоятельств непреодолимой силы, обязана о наступлении, предположительном сроке действия и прекращения этих обстоятельств незамедлительно (но не позднее 3 (трех) календарных дней) уведомить в письменной форме другую Сторону. </w:t>
      </w:r>
    </w:p>
    <w:p w:rsidR="002B6F5C" w:rsidRPr="002B6F5C" w:rsidRDefault="002B6F5C" w:rsidP="002B6F5C">
      <w:pPr>
        <w:jc w:val="both"/>
      </w:pPr>
      <w:r w:rsidRPr="002B6F5C">
        <w:t>В случае спора о времени наступления, сроках действия и окончания обстоятельств непреодолимой силы, заключение компетентного органа по месту нахождения соответствующей Стороны будет являться надлежащим и достаточным подтверждением начала, срока действия и окончания указанных обстоятельств.</w:t>
      </w:r>
    </w:p>
    <w:p w:rsidR="002B6F5C" w:rsidRPr="002B6F5C" w:rsidRDefault="002B6F5C" w:rsidP="002B6F5C">
      <w:pPr>
        <w:tabs>
          <w:tab w:val="left" w:pos="0"/>
        </w:tabs>
        <w:jc w:val="both"/>
      </w:pPr>
      <w:r w:rsidRPr="002B6F5C">
        <w:t xml:space="preserve">Если любое из обстоятельств непреодолимой силы (или его последствия) непосредственно повлияло на исполнение обязательства в срок, установленный настоящим Договором, то этот срок соразмерно отодвигается на время действия соответствующего обстоятельства и/или его последствий. </w:t>
      </w:r>
    </w:p>
    <w:p w:rsidR="002B6F5C" w:rsidRPr="002B6F5C" w:rsidRDefault="002B6F5C" w:rsidP="002B6F5C">
      <w:pPr>
        <w:tabs>
          <w:tab w:val="left" w:pos="0"/>
        </w:tabs>
        <w:jc w:val="both"/>
      </w:pPr>
      <w:r w:rsidRPr="002B6F5C">
        <w:t>Не уведомление или несвоевременное уведомление Стороны о начале обстоятельств непреодолимой силы лишает ее в дальнейшем права ссылаться на них как на основание, освобождающее от ответственности за неисполнение обязательств по настоящему Договору.</w:t>
      </w:r>
    </w:p>
    <w:p w:rsidR="002B6F5C" w:rsidRPr="002B6F5C" w:rsidRDefault="002B6F5C" w:rsidP="002B6F5C">
      <w:pPr>
        <w:tabs>
          <w:tab w:val="left" w:pos="0"/>
        </w:tabs>
        <w:jc w:val="both"/>
      </w:pPr>
      <w:r w:rsidRPr="002B6F5C">
        <w:t>Если обстоятельства непреодолимой силы и/или их последствия продолжают действовать более 30 (тридцати) календарных дней подряд, то Стороны проводят дополнительные переговоры для определения приемлемых способов исполнения настоящего Договора.</w:t>
      </w:r>
    </w:p>
    <w:p w:rsidR="002B6F5C" w:rsidRPr="002B6F5C" w:rsidRDefault="002B6F5C" w:rsidP="002B6F5C">
      <w:pPr>
        <w:tabs>
          <w:tab w:val="left" w:pos="0"/>
        </w:tabs>
        <w:jc w:val="both"/>
      </w:pPr>
      <w:r w:rsidRPr="002B6F5C">
        <w:t xml:space="preserve">5.9. Сублицензиат не несет ответственность за какие-либо убытки (в том числе, убытки в связи с </w:t>
      </w:r>
      <w:proofErr w:type="spellStart"/>
      <w:r w:rsidRPr="002B6F5C">
        <w:t>недополучением</w:t>
      </w:r>
      <w:proofErr w:type="spellEnd"/>
      <w:r w:rsidRPr="002B6F5C">
        <w:t xml:space="preserve"> коммерческой прибыли, прерыванием коммерческой или производственной деятельности, утратой деловой информации и иной имущественный ущерб), возникающие в связи с использованием или невозможностью использования Программы.</w:t>
      </w:r>
    </w:p>
    <w:p w:rsidR="002B6F5C" w:rsidRPr="002B6F5C" w:rsidRDefault="002B6F5C" w:rsidP="002B6F5C">
      <w:pPr>
        <w:tabs>
          <w:tab w:val="left" w:pos="0"/>
        </w:tabs>
        <w:jc w:val="both"/>
      </w:pPr>
      <w:r w:rsidRPr="002B6F5C">
        <w:t xml:space="preserve">5.10. Стороны принимают меры к непосредственному урегулированию споров, возникающих при исполнении и/или толковании Договора, путем переговоров. Разногласия, по которым Стороны не придут к согласию в ходе переговоров, подлежат рассмотрению в Арбитражном суде по месту нахождения ответчика с обязательным соблюдением претензионного порядка урегулирования споров </w:t>
      </w:r>
      <w:r w:rsidRPr="002B6F5C">
        <w:rPr>
          <w:spacing w:val="-1"/>
        </w:rPr>
        <w:t xml:space="preserve">и разногласий. Срок ответа на претензию 20 (двадцать) календарных дней с момента ее поступления в </w:t>
      </w:r>
      <w:r w:rsidRPr="002B6F5C">
        <w:t>письменной форме или в электронном виде, заверенной квалифицированной электронной подписью.</w:t>
      </w:r>
    </w:p>
    <w:p w:rsidR="002B6F5C" w:rsidRPr="002B6F5C" w:rsidRDefault="002B6F5C" w:rsidP="002B6F5C">
      <w:pPr>
        <w:tabs>
          <w:tab w:val="left" w:pos="0"/>
        </w:tabs>
        <w:jc w:val="both"/>
      </w:pPr>
      <w:r w:rsidRPr="002B6F5C">
        <w:t xml:space="preserve">5.11. </w:t>
      </w:r>
      <w:r w:rsidRPr="002B6F5C">
        <w:rPr>
          <w:rFonts w:eastAsia="MS Mincho"/>
        </w:rPr>
        <w:t xml:space="preserve">Сторона </w:t>
      </w:r>
      <w:r w:rsidRPr="002B6F5C">
        <w:rPr>
          <w:snapToGrid w:val="0"/>
        </w:rPr>
        <w:t>обязана незамедлительно (но не позднее 10 (10) календарных дней) информировать другую Сторону об изменении банковских реквизитов, места нахождения (юридического адреса) и почтового адреса, о смене руководителя, о предстоящей ликвидации или реорганизации.</w:t>
      </w:r>
    </w:p>
    <w:p w:rsidR="002B6F5C" w:rsidRPr="002B6F5C" w:rsidRDefault="002B6F5C" w:rsidP="002B6F5C">
      <w:pPr>
        <w:tabs>
          <w:tab w:val="left" w:pos="0"/>
        </w:tabs>
        <w:jc w:val="both"/>
      </w:pPr>
    </w:p>
    <w:p w:rsidR="002B6F5C" w:rsidRPr="002B6F5C" w:rsidRDefault="002B6F5C" w:rsidP="002B6F5C">
      <w:pPr>
        <w:spacing w:after="120"/>
        <w:contextualSpacing/>
        <w:jc w:val="center"/>
        <w:rPr>
          <w:b/>
        </w:rPr>
      </w:pPr>
      <w:r w:rsidRPr="002B6F5C">
        <w:rPr>
          <w:b/>
        </w:rPr>
        <w:t>6. Срок действия договора, основания и порядок его прекращения</w:t>
      </w:r>
    </w:p>
    <w:p w:rsidR="002B6F5C" w:rsidRPr="002B6F5C" w:rsidRDefault="002B6F5C" w:rsidP="002B6F5C">
      <w:pPr>
        <w:spacing w:after="120"/>
        <w:contextualSpacing/>
        <w:jc w:val="both"/>
        <w:rPr>
          <w:b/>
        </w:rPr>
      </w:pPr>
    </w:p>
    <w:p w:rsidR="002B6F5C" w:rsidRPr="002B6F5C" w:rsidRDefault="002B6F5C" w:rsidP="002B6F5C">
      <w:pPr>
        <w:jc w:val="both"/>
      </w:pPr>
      <w:r w:rsidRPr="002B6F5C">
        <w:t xml:space="preserve">6.1. Договор вступает в силу с момента </w:t>
      </w:r>
      <w:r w:rsidR="002C3C9A">
        <w:t>присоединения</w:t>
      </w:r>
      <w:r w:rsidRPr="002B6F5C">
        <w:t xml:space="preserve"> и действует в течение 5 (пяти) лет на основании п. 4 ст. 1235 Гражданского Кодекса Российской Федерации, при отсутствии письменного извещения о расторжении Договора одной из сторон.</w:t>
      </w:r>
    </w:p>
    <w:p w:rsidR="002B6F5C" w:rsidRPr="002B6F5C" w:rsidRDefault="002B6F5C" w:rsidP="002B6F5C">
      <w:pPr>
        <w:jc w:val="both"/>
      </w:pPr>
      <w:r w:rsidRPr="002B6F5C">
        <w:t>6.2. Каждая из сторон вправе в любое время отказаться от исполнения Договора в одностороннем порядке, письменно уведомив о своем желании другую Сторону не позднее, чем за 30 (тридцать) календарных дней до предполагаемой даты расторжения договора, указав причину и дату прекращения действия договора.</w:t>
      </w:r>
    </w:p>
    <w:p w:rsidR="002B6F5C" w:rsidRDefault="002B6F5C" w:rsidP="002B6F5C">
      <w:pPr>
        <w:jc w:val="both"/>
      </w:pPr>
    </w:p>
    <w:p w:rsidR="002C3C9A" w:rsidRPr="002B6F5C" w:rsidRDefault="002C3C9A" w:rsidP="002B6F5C">
      <w:pPr>
        <w:jc w:val="both"/>
      </w:pPr>
    </w:p>
    <w:p w:rsidR="002C3C9A" w:rsidRDefault="002C3C9A" w:rsidP="002B6F5C">
      <w:pPr>
        <w:widowControl w:val="0"/>
        <w:shd w:val="clear" w:color="auto" w:fill="FFFFFF"/>
        <w:autoSpaceDE w:val="0"/>
        <w:autoSpaceDN w:val="0"/>
        <w:adjustRightInd w:val="0"/>
        <w:spacing w:before="278"/>
        <w:ind w:left="10"/>
        <w:jc w:val="center"/>
        <w:rPr>
          <w:b/>
          <w:bCs/>
        </w:rPr>
      </w:pPr>
    </w:p>
    <w:p w:rsidR="002C3C9A" w:rsidRDefault="002C3C9A" w:rsidP="002B6F5C">
      <w:pPr>
        <w:widowControl w:val="0"/>
        <w:shd w:val="clear" w:color="auto" w:fill="FFFFFF"/>
        <w:autoSpaceDE w:val="0"/>
        <w:autoSpaceDN w:val="0"/>
        <w:adjustRightInd w:val="0"/>
        <w:spacing w:before="278"/>
        <w:ind w:left="10"/>
        <w:jc w:val="center"/>
        <w:rPr>
          <w:b/>
          <w:bCs/>
        </w:rPr>
      </w:pPr>
    </w:p>
    <w:p w:rsidR="002C3C9A" w:rsidRDefault="002C3C9A" w:rsidP="002B6F5C">
      <w:pPr>
        <w:widowControl w:val="0"/>
        <w:shd w:val="clear" w:color="auto" w:fill="FFFFFF"/>
        <w:autoSpaceDE w:val="0"/>
        <w:autoSpaceDN w:val="0"/>
        <w:adjustRightInd w:val="0"/>
        <w:spacing w:before="278"/>
        <w:ind w:left="10"/>
        <w:jc w:val="center"/>
        <w:rPr>
          <w:b/>
          <w:bCs/>
        </w:rPr>
      </w:pPr>
    </w:p>
    <w:p w:rsidR="002B6F5C" w:rsidRPr="002B6F5C" w:rsidRDefault="002B6F5C" w:rsidP="002B6F5C">
      <w:pPr>
        <w:widowControl w:val="0"/>
        <w:shd w:val="clear" w:color="auto" w:fill="FFFFFF"/>
        <w:autoSpaceDE w:val="0"/>
        <w:autoSpaceDN w:val="0"/>
        <w:adjustRightInd w:val="0"/>
        <w:spacing w:before="278"/>
        <w:ind w:left="10"/>
        <w:jc w:val="center"/>
        <w:rPr>
          <w:b/>
          <w:bCs/>
        </w:rPr>
      </w:pPr>
      <w:r w:rsidRPr="002B6F5C">
        <w:rPr>
          <w:b/>
          <w:bCs/>
        </w:rPr>
        <w:lastRenderedPageBreak/>
        <w:t>7. Реквизиты Сублицензиата.</w:t>
      </w:r>
    </w:p>
    <w:p w:rsidR="002B6F5C" w:rsidRPr="002B6F5C" w:rsidRDefault="002B6F5C" w:rsidP="002B6F5C">
      <w:pPr>
        <w:widowControl w:val="0"/>
        <w:shd w:val="clear" w:color="auto" w:fill="FFFFFF"/>
        <w:autoSpaceDE w:val="0"/>
        <w:autoSpaceDN w:val="0"/>
        <w:adjustRightInd w:val="0"/>
        <w:spacing w:before="278"/>
        <w:ind w:left="10"/>
        <w:jc w:val="center"/>
        <w:rPr>
          <w:b/>
          <w:bCs/>
        </w:rPr>
      </w:pPr>
    </w:p>
    <w:p w:rsidR="002B6F5C" w:rsidRPr="002B6F5C" w:rsidRDefault="002B6F5C" w:rsidP="002B6F5C">
      <w:pPr>
        <w:widowControl w:val="0"/>
        <w:shd w:val="clear" w:color="auto" w:fill="FFFFFF"/>
        <w:autoSpaceDE w:val="0"/>
        <w:autoSpaceDN w:val="0"/>
        <w:adjustRightInd w:val="0"/>
        <w:ind w:left="11"/>
      </w:pPr>
      <w:r w:rsidRPr="002B6F5C">
        <w:rPr>
          <w:bCs/>
          <w:u w:val="single"/>
        </w:rPr>
        <w:t>Сублицензиат</w:t>
      </w:r>
      <w:r w:rsidRPr="002B6F5C">
        <w:rPr>
          <w:bCs/>
        </w:rPr>
        <w:t xml:space="preserve">: ООО </w:t>
      </w:r>
      <w:r w:rsidRPr="002B6F5C">
        <w:t xml:space="preserve">«ОСТМО» </w:t>
      </w:r>
    </w:p>
    <w:p w:rsidR="002B6F5C" w:rsidRPr="002B6F5C" w:rsidRDefault="002B6F5C" w:rsidP="002B6F5C">
      <w:pPr>
        <w:widowControl w:val="0"/>
        <w:shd w:val="clear" w:color="auto" w:fill="FFFFFF"/>
        <w:autoSpaceDE w:val="0"/>
        <w:autoSpaceDN w:val="0"/>
        <w:adjustRightInd w:val="0"/>
        <w:ind w:left="11"/>
        <w:rPr>
          <w:bCs/>
        </w:rPr>
      </w:pPr>
      <w:r w:rsidRPr="002B6F5C">
        <w:rPr>
          <w:bCs/>
          <w:u w:val="single"/>
        </w:rPr>
        <w:t>Адрес места нахождения</w:t>
      </w:r>
      <w:r w:rsidRPr="002B6F5C">
        <w:rPr>
          <w:bCs/>
        </w:rPr>
        <w:t xml:space="preserve">: 690014, Приморский край, г. Владивосток, ул. Всеволода </w:t>
      </w:r>
      <w:proofErr w:type="spellStart"/>
      <w:r w:rsidRPr="002B6F5C">
        <w:rPr>
          <w:bCs/>
        </w:rPr>
        <w:t>Сибирцева</w:t>
      </w:r>
      <w:proofErr w:type="spellEnd"/>
      <w:r w:rsidRPr="002B6F5C">
        <w:rPr>
          <w:bCs/>
        </w:rPr>
        <w:t xml:space="preserve">, </w:t>
      </w:r>
    </w:p>
    <w:p w:rsidR="002B6F5C" w:rsidRPr="002B6F5C" w:rsidRDefault="002B6F5C" w:rsidP="002B6F5C">
      <w:pPr>
        <w:widowControl w:val="0"/>
        <w:shd w:val="clear" w:color="auto" w:fill="FFFFFF"/>
        <w:autoSpaceDE w:val="0"/>
        <w:autoSpaceDN w:val="0"/>
        <w:adjustRightInd w:val="0"/>
        <w:ind w:left="11"/>
        <w:rPr>
          <w:bCs/>
        </w:rPr>
      </w:pPr>
      <w:r w:rsidRPr="002B6F5C">
        <w:rPr>
          <w:bCs/>
        </w:rPr>
        <w:t>дом № 103</w:t>
      </w:r>
    </w:p>
    <w:p w:rsidR="002B6F5C" w:rsidRPr="002B6F5C" w:rsidRDefault="002B6F5C" w:rsidP="002B6F5C">
      <w:pPr>
        <w:widowControl w:val="0"/>
        <w:shd w:val="clear" w:color="auto" w:fill="FFFFFF"/>
        <w:autoSpaceDE w:val="0"/>
        <w:autoSpaceDN w:val="0"/>
        <w:adjustRightInd w:val="0"/>
        <w:ind w:left="11"/>
        <w:rPr>
          <w:bCs/>
        </w:rPr>
      </w:pPr>
      <w:r w:rsidRPr="002B6F5C">
        <w:rPr>
          <w:bCs/>
          <w:u w:val="single"/>
        </w:rPr>
        <w:t>Почтовый адрес</w:t>
      </w:r>
      <w:r w:rsidRPr="002B6F5C">
        <w:rPr>
          <w:bCs/>
        </w:rPr>
        <w:t xml:space="preserve">: 690014, Приморский край, г. Владивосток, ул. Всеволода </w:t>
      </w:r>
      <w:proofErr w:type="spellStart"/>
      <w:r w:rsidRPr="002B6F5C">
        <w:rPr>
          <w:bCs/>
        </w:rPr>
        <w:t>Сибирцева</w:t>
      </w:r>
      <w:proofErr w:type="spellEnd"/>
      <w:r w:rsidRPr="002B6F5C">
        <w:rPr>
          <w:bCs/>
        </w:rPr>
        <w:t>, дом № 103</w:t>
      </w:r>
    </w:p>
    <w:p w:rsidR="002B6F5C" w:rsidRPr="002B6F5C" w:rsidRDefault="002B6F5C" w:rsidP="002B6F5C">
      <w:pPr>
        <w:widowControl w:val="0"/>
        <w:shd w:val="clear" w:color="auto" w:fill="FFFFFF"/>
        <w:autoSpaceDE w:val="0"/>
        <w:autoSpaceDN w:val="0"/>
        <w:adjustRightInd w:val="0"/>
        <w:ind w:left="11"/>
        <w:rPr>
          <w:rFonts w:eastAsiaTheme="minorEastAsia"/>
        </w:rPr>
      </w:pPr>
      <w:r w:rsidRPr="002B6F5C">
        <w:rPr>
          <w:rFonts w:eastAsiaTheme="minorEastAsia"/>
          <w:u w:val="single"/>
        </w:rPr>
        <w:t>ОГРН</w:t>
      </w:r>
      <w:r w:rsidRPr="002B6F5C">
        <w:rPr>
          <w:rFonts w:eastAsiaTheme="minorEastAsia"/>
        </w:rPr>
        <w:t>: 1122540004069</w:t>
      </w:r>
    </w:p>
    <w:p w:rsidR="002B6F5C" w:rsidRPr="002B6F5C" w:rsidRDefault="002B6F5C" w:rsidP="002B6F5C">
      <w:pPr>
        <w:widowControl w:val="0"/>
        <w:shd w:val="clear" w:color="auto" w:fill="FFFFFF"/>
        <w:autoSpaceDE w:val="0"/>
        <w:autoSpaceDN w:val="0"/>
        <w:adjustRightInd w:val="0"/>
        <w:ind w:left="11"/>
        <w:rPr>
          <w:rFonts w:eastAsiaTheme="minorEastAsia"/>
        </w:rPr>
      </w:pPr>
      <w:r w:rsidRPr="002B6F5C">
        <w:rPr>
          <w:rFonts w:eastAsiaTheme="minorEastAsia"/>
          <w:u w:val="single"/>
        </w:rPr>
        <w:t>ИНН/КПП</w:t>
      </w:r>
      <w:r w:rsidRPr="002B6F5C">
        <w:rPr>
          <w:rFonts w:eastAsiaTheme="minorEastAsia"/>
        </w:rPr>
        <w:t>: 2540181940/253601001</w:t>
      </w:r>
    </w:p>
    <w:p w:rsidR="002B6F5C" w:rsidRPr="002B6F5C" w:rsidRDefault="002B6F5C" w:rsidP="002B6F5C">
      <w:pPr>
        <w:widowControl w:val="0"/>
        <w:shd w:val="clear" w:color="auto" w:fill="FFFFFF"/>
        <w:autoSpaceDE w:val="0"/>
        <w:autoSpaceDN w:val="0"/>
        <w:adjustRightInd w:val="0"/>
        <w:ind w:left="11"/>
        <w:rPr>
          <w:rFonts w:eastAsiaTheme="minorEastAsia"/>
        </w:rPr>
      </w:pPr>
      <w:r w:rsidRPr="002B6F5C">
        <w:rPr>
          <w:rFonts w:eastAsiaTheme="minorEastAsia"/>
          <w:u w:val="single"/>
        </w:rPr>
        <w:t>Банковские реквизиты</w:t>
      </w:r>
      <w:r w:rsidRPr="002B6F5C">
        <w:rPr>
          <w:rFonts w:eastAsiaTheme="minorEastAsia"/>
        </w:rPr>
        <w:t>:</w:t>
      </w:r>
    </w:p>
    <w:p w:rsidR="002B6F5C" w:rsidRPr="002B6F5C" w:rsidRDefault="002B6F5C" w:rsidP="002B6F5C">
      <w:pPr>
        <w:widowControl w:val="0"/>
        <w:shd w:val="clear" w:color="auto" w:fill="FFFFFF"/>
        <w:autoSpaceDE w:val="0"/>
        <w:autoSpaceDN w:val="0"/>
        <w:adjustRightInd w:val="0"/>
        <w:ind w:left="11"/>
        <w:rPr>
          <w:rFonts w:eastAsiaTheme="minorEastAsia"/>
        </w:rPr>
      </w:pPr>
      <w:r w:rsidRPr="002B6F5C">
        <w:rPr>
          <w:rFonts w:eastAsiaTheme="minorEastAsia"/>
        </w:rPr>
        <w:t>р/с 40702810100100011148</w:t>
      </w:r>
    </w:p>
    <w:p w:rsidR="002B6F5C" w:rsidRPr="002B6F5C" w:rsidRDefault="002B6F5C" w:rsidP="002B6F5C">
      <w:pPr>
        <w:widowControl w:val="0"/>
        <w:shd w:val="clear" w:color="auto" w:fill="FFFFFF"/>
        <w:autoSpaceDE w:val="0"/>
        <w:autoSpaceDN w:val="0"/>
        <w:adjustRightInd w:val="0"/>
        <w:ind w:left="11"/>
        <w:rPr>
          <w:rFonts w:eastAsiaTheme="minorEastAsia"/>
        </w:rPr>
      </w:pPr>
      <w:r w:rsidRPr="002B6F5C">
        <w:rPr>
          <w:rFonts w:eastAsiaTheme="minorEastAsia"/>
        </w:rPr>
        <w:t xml:space="preserve">в  ПАО СКБ Приморья  </w:t>
      </w:r>
      <w:r w:rsidRPr="002B6F5C">
        <w:t>«</w:t>
      </w:r>
      <w:proofErr w:type="spellStart"/>
      <w:r w:rsidRPr="002B6F5C">
        <w:rPr>
          <w:rFonts w:eastAsiaTheme="minorEastAsia"/>
        </w:rPr>
        <w:t>Примсоцбанк</w:t>
      </w:r>
      <w:proofErr w:type="spellEnd"/>
      <w:r w:rsidRPr="002B6F5C">
        <w:t>»</w:t>
      </w:r>
    </w:p>
    <w:p w:rsidR="002B6F5C" w:rsidRPr="002B6F5C" w:rsidRDefault="002B6F5C" w:rsidP="002B6F5C">
      <w:pPr>
        <w:widowControl w:val="0"/>
        <w:shd w:val="clear" w:color="auto" w:fill="FFFFFF"/>
        <w:autoSpaceDE w:val="0"/>
        <w:autoSpaceDN w:val="0"/>
        <w:adjustRightInd w:val="0"/>
        <w:ind w:left="11"/>
        <w:rPr>
          <w:rFonts w:eastAsiaTheme="minorEastAsia"/>
        </w:rPr>
      </w:pPr>
      <w:r w:rsidRPr="002B6F5C">
        <w:rPr>
          <w:rFonts w:eastAsiaTheme="minorEastAsia"/>
        </w:rPr>
        <w:t>к/с 30101810200000000803, БИК 040507803</w:t>
      </w:r>
    </w:p>
    <w:p w:rsidR="002B6F5C" w:rsidRPr="002B6F5C" w:rsidRDefault="002B6F5C" w:rsidP="002B6F5C">
      <w:pPr>
        <w:widowControl w:val="0"/>
        <w:shd w:val="clear" w:color="auto" w:fill="FFFFFF"/>
        <w:autoSpaceDE w:val="0"/>
        <w:autoSpaceDN w:val="0"/>
        <w:adjustRightInd w:val="0"/>
        <w:ind w:left="11"/>
        <w:rPr>
          <w:rFonts w:eastAsiaTheme="minorEastAsia"/>
        </w:rPr>
      </w:pPr>
      <w:r w:rsidRPr="002B6F5C">
        <w:rPr>
          <w:rFonts w:eastAsiaTheme="minorEastAsia"/>
          <w:u w:val="single"/>
        </w:rPr>
        <w:t>Телефон</w:t>
      </w:r>
      <w:r w:rsidRPr="002B6F5C">
        <w:rPr>
          <w:rFonts w:eastAsiaTheme="minorEastAsia"/>
        </w:rPr>
        <w:t>: (423) 2300-506</w:t>
      </w:r>
    </w:p>
    <w:p w:rsidR="002B6F5C" w:rsidRPr="002B6F5C" w:rsidRDefault="002B6F5C" w:rsidP="002B6F5C">
      <w:pPr>
        <w:widowControl w:val="0"/>
        <w:shd w:val="clear" w:color="auto" w:fill="FFFFFF"/>
        <w:autoSpaceDE w:val="0"/>
        <w:autoSpaceDN w:val="0"/>
        <w:adjustRightInd w:val="0"/>
        <w:ind w:left="11"/>
        <w:rPr>
          <w:rFonts w:eastAsiaTheme="minorEastAsia"/>
        </w:rPr>
      </w:pPr>
      <w:r w:rsidRPr="002B6F5C">
        <w:rPr>
          <w:rFonts w:eastAsiaTheme="minorEastAsia"/>
          <w:u w:val="single"/>
          <w:lang w:val="en-US"/>
        </w:rPr>
        <w:t>Email</w:t>
      </w:r>
      <w:r w:rsidRPr="002B6F5C">
        <w:rPr>
          <w:rFonts w:eastAsiaTheme="minorEastAsia"/>
        </w:rPr>
        <w:t xml:space="preserve">: </w:t>
      </w:r>
      <w:hyperlink r:id="rId7" w:history="1">
        <w:r w:rsidRPr="002B6F5C">
          <w:rPr>
            <w:rFonts w:eastAsiaTheme="minorEastAsia"/>
            <w:lang w:val="en-US"/>
          </w:rPr>
          <w:t>sales</w:t>
        </w:r>
        <w:r w:rsidRPr="002B6F5C">
          <w:rPr>
            <w:rFonts w:eastAsiaTheme="minorEastAsia"/>
          </w:rPr>
          <w:t>@</w:t>
        </w:r>
        <w:proofErr w:type="spellStart"/>
        <w:r w:rsidRPr="002B6F5C">
          <w:rPr>
            <w:rFonts w:eastAsiaTheme="minorEastAsia"/>
            <w:lang w:val="en-US"/>
          </w:rPr>
          <w:t>deklarant</w:t>
        </w:r>
        <w:proofErr w:type="spellEnd"/>
        <w:r w:rsidRPr="002B6F5C">
          <w:rPr>
            <w:rFonts w:eastAsiaTheme="minorEastAsia"/>
          </w:rPr>
          <w:t>.</w:t>
        </w:r>
        <w:proofErr w:type="spellStart"/>
        <w:r w:rsidRPr="002B6F5C">
          <w:rPr>
            <w:rFonts w:eastAsiaTheme="minorEastAsia"/>
            <w:lang w:val="en-US"/>
          </w:rPr>
          <w:t>ru</w:t>
        </w:r>
        <w:proofErr w:type="spellEnd"/>
      </w:hyperlink>
    </w:p>
    <w:p w:rsidR="002B6F5C" w:rsidRPr="002B6F5C" w:rsidRDefault="002B6F5C" w:rsidP="002B6F5C">
      <w:pPr>
        <w:widowControl w:val="0"/>
        <w:shd w:val="clear" w:color="auto" w:fill="FFFFFF"/>
        <w:autoSpaceDE w:val="0"/>
        <w:autoSpaceDN w:val="0"/>
        <w:adjustRightInd w:val="0"/>
        <w:ind w:left="11"/>
      </w:pPr>
      <w:r w:rsidRPr="002B6F5C">
        <w:rPr>
          <w:rFonts w:eastAsiaTheme="minorEastAsia"/>
          <w:u w:val="single"/>
        </w:rPr>
        <w:t>Сайт</w:t>
      </w:r>
      <w:r w:rsidRPr="002B6F5C">
        <w:rPr>
          <w:rFonts w:eastAsiaTheme="minorEastAsia"/>
        </w:rPr>
        <w:t xml:space="preserve">: </w:t>
      </w:r>
      <w:hyperlink r:id="rId8" w:history="1">
        <w:r w:rsidRPr="002B6F5C">
          <w:t>https://www.deklarant.ru/</w:t>
        </w:r>
      </w:hyperlink>
    </w:p>
    <w:p w:rsidR="002B6F5C" w:rsidRPr="002B6F5C" w:rsidRDefault="002B6F5C" w:rsidP="002B6F5C">
      <w:pPr>
        <w:widowControl w:val="0"/>
        <w:shd w:val="clear" w:color="auto" w:fill="FFFFFF"/>
        <w:autoSpaceDE w:val="0"/>
        <w:autoSpaceDN w:val="0"/>
        <w:adjustRightInd w:val="0"/>
        <w:ind w:left="11"/>
        <w:rPr>
          <w:rFonts w:eastAsiaTheme="minorEastAsia"/>
        </w:rPr>
      </w:pPr>
      <w:r w:rsidRPr="002B6F5C">
        <w:t xml:space="preserve">Директор </w:t>
      </w:r>
      <w:proofErr w:type="spellStart"/>
      <w:r w:rsidRPr="002B6F5C">
        <w:t>Дикарев</w:t>
      </w:r>
      <w:proofErr w:type="spellEnd"/>
      <w:r w:rsidRPr="002B6F5C">
        <w:t xml:space="preserve"> Евгений Валерьевич</w:t>
      </w:r>
    </w:p>
    <w:p w:rsidR="002B6F5C" w:rsidRPr="002B6F5C" w:rsidRDefault="002B6F5C" w:rsidP="002B6F5C"/>
    <w:p w:rsidR="002B6F5C" w:rsidRPr="002B6F5C" w:rsidRDefault="002B6F5C" w:rsidP="002B6F5C"/>
    <w:p w:rsidR="002B6F5C" w:rsidRPr="002B6F5C" w:rsidRDefault="002B6F5C" w:rsidP="002B6F5C"/>
    <w:p w:rsidR="002B6F5C" w:rsidRPr="002B6F5C" w:rsidRDefault="002B6F5C" w:rsidP="002B6F5C"/>
    <w:p w:rsidR="002B6F5C" w:rsidRPr="002B6F5C" w:rsidRDefault="002B6F5C" w:rsidP="002B6F5C"/>
    <w:p w:rsidR="002B6F5C" w:rsidRPr="002B6F5C" w:rsidRDefault="002B6F5C" w:rsidP="002B6F5C">
      <w:pPr>
        <w:jc w:val="right"/>
        <w:rPr>
          <w:b/>
        </w:rPr>
      </w:pPr>
    </w:p>
    <w:p w:rsidR="002B6F5C" w:rsidRPr="002B6F5C" w:rsidRDefault="002B6F5C" w:rsidP="002B6F5C">
      <w:pPr>
        <w:jc w:val="right"/>
        <w:rPr>
          <w:b/>
        </w:rPr>
      </w:pPr>
    </w:p>
    <w:p w:rsidR="002B6F5C" w:rsidRPr="002B6F5C" w:rsidRDefault="002B6F5C" w:rsidP="002B6F5C">
      <w:pPr>
        <w:jc w:val="right"/>
        <w:rPr>
          <w:b/>
        </w:rPr>
      </w:pPr>
    </w:p>
    <w:p w:rsidR="002B6F5C" w:rsidRPr="002B6F5C" w:rsidRDefault="002B6F5C" w:rsidP="002B6F5C">
      <w:pPr>
        <w:jc w:val="right"/>
        <w:rPr>
          <w:b/>
        </w:rPr>
      </w:pPr>
    </w:p>
    <w:p w:rsidR="002B6F5C" w:rsidRPr="002B6F5C" w:rsidRDefault="002B6F5C" w:rsidP="002B6F5C">
      <w:pPr>
        <w:jc w:val="right"/>
        <w:rPr>
          <w:b/>
        </w:rPr>
      </w:pPr>
    </w:p>
    <w:p w:rsidR="002B6F5C" w:rsidRPr="002B6F5C" w:rsidRDefault="002B6F5C" w:rsidP="002B6F5C">
      <w:pPr>
        <w:jc w:val="right"/>
        <w:rPr>
          <w:b/>
        </w:rPr>
      </w:pPr>
    </w:p>
    <w:p w:rsidR="002B6F5C" w:rsidRPr="002B6F5C" w:rsidRDefault="002B6F5C" w:rsidP="002B6F5C">
      <w:pPr>
        <w:jc w:val="right"/>
        <w:rPr>
          <w:b/>
        </w:rPr>
      </w:pPr>
    </w:p>
    <w:p w:rsidR="002B6F5C" w:rsidRPr="002B6F5C" w:rsidRDefault="002B6F5C" w:rsidP="002B6F5C">
      <w:pPr>
        <w:jc w:val="right"/>
        <w:rPr>
          <w:b/>
        </w:rPr>
      </w:pPr>
    </w:p>
    <w:p w:rsidR="002B6F5C" w:rsidRPr="002B6F5C" w:rsidRDefault="002B6F5C" w:rsidP="002B6F5C">
      <w:pPr>
        <w:jc w:val="right"/>
        <w:rPr>
          <w:b/>
        </w:rPr>
      </w:pPr>
    </w:p>
    <w:p w:rsidR="002B6F5C" w:rsidRPr="002B6F5C" w:rsidRDefault="002B6F5C" w:rsidP="002B6F5C">
      <w:pPr>
        <w:jc w:val="right"/>
        <w:rPr>
          <w:b/>
        </w:rPr>
      </w:pPr>
    </w:p>
    <w:p w:rsidR="002B6F5C" w:rsidRPr="002B6F5C" w:rsidRDefault="002B6F5C" w:rsidP="002B6F5C">
      <w:pPr>
        <w:jc w:val="right"/>
        <w:rPr>
          <w:b/>
        </w:rPr>
      </w:pPr>
    </w:p>
    <w:p w:rsidR="002B6F5C" w:rsidRPr="002B6F5C" w:rsidRDefault="002B6F5C" w:rsidP="002B6F5C">
      <w:pPr>
        <w:jc w:val="right"/>
        <w:rPr>
          <w:b/>
        </w:rPr>
      </w:pPr>
    </w:p>
    <w:p w:rsidR="002B6F5C" w:rsidRPr="002B6F5C" w:rsidRDefault="002B6F5C" w:rsidP="002B6F5C">
      <w:pPr>
        <w:jc w:val="right"/>
        <w:rPr>
          <w:b/>
        </w:rPr>
      </w:pPr>
    </w:p>
    <w:p w:rsidR="002B6F5C" w:rsidRPr="002B6F5C" w:rsidRDefault="002B6F5C" w:rsidP="002B6F5C">
      <w:pPr>
        <w:jc w:val="right"/>
        <w:rPr>
          <w:b/>
        </w:rPr>
      </w:pPr>
    </w:p>
    <w:p w:rsidR="002B6F5C" w:rsidRPr="002B6F5C" w:rsidRDefault="002B6F5C" w:rsidP="002B6F5C">
      <w:pPr>
        <w:jc w:val="right"/>
        <w:rPr>
          <w:b/>
        </w:rPr>
      </w:pPr>
    </w:p>
    <w:p w:rsidR="002B6F5C" w:rsidRPr="002B6F5C" w:rsidRDefault="002B6F5C" w:rsidP="002B6F5C">
      <w:pPr>
        <w:jc w:val="right"/>
        <w:rPr>
          <w:b/>
        </w:rPr>
      </w:pPr>
    </w:p>
    <w:p w:rsidR="002B6F5C" w:rsidRPr="002B6F5C" w:rsidRDefault="002B6F5C" w:rsidP="002B6F5C">
      <w:pPr>
        <w:jc w:val="right"/>
        <w:rPr>
          <w:b/>
        </w:rPr>
      </w:pPr>
    </w:p>
    <w:p w:rsidR="002C3C9A" w:rsidRDefault="002C3C9A">
      <w:pPr>
        <w:spacing w:after="200" w:line="276" w:lineRule="auto"/>
        <w:rPr>
          <w:b/>
          <w:sz w:val="22"/>
          <w:szCs w:val="22"/>
        </w:rPr>
      </w:pPr>
      <w:r>
        <w:rPr>
          <w:b/>
          <w:sz w:val="22"/>
          <w:szCs w:val="22"/>
        </w:rPr>
        <w:br w:type="page"/>
      </w:r>
    </w:p>
    <w:p w:rsidR="002B6F5C" w:rsidRPr="002B6F5C" w:rsidRDefault="002B6F5C" w:rsidP="002B6F5C">
      <w:pPr>
        <w:jc w:val="right"/>
        <w:rPr>
          <w:b/>
          <w:sz w:val="22"/>
          <w:szCs w:val="22"/>
        </w:rPr>
      </w:pPr>
      <w:r w:rsidRPr="002B6F5C">
        <w:rPr>
          <w:b/>
          <w:sz w:val="22"/>
          <w:szCs w:val="22"/>
        </w:rPr>
        <w:lastRenderedPageBreak/>
        <w:t xml:space="preserve">Приложение № 1 </w:t>
      </w:r>
    </w:p>
    <w:p w:rsidR="002B6F5C" w:rsidRPr="002B6F5C" w:rsidRDefault="002B6F5C" w:rsidP="002B6F5C">
      <w:pPr>
        <w:jc w:val="right"/>
        <w:rPr>
          <w:b/>
          <w:sz w:val="22"/>
          <w:szCs w:val="22"/>
        </w:rPr>
      </w:pPr>
    </w:p>
    <w:p w:rsidR="002B6F5C" w:rsidRPr="002B6F5C" w:rsidRDefault="002B6F5C" w:rsidP="002B6F5C">
      <w:pPr>
        <w:keepNext/>
        <w:spacing w:after="120"/>
        <w:jc w:val="center"/>
        <w:outlineLvl w:val="3"/>
        <w:rPr>
          <w:b/>
          <w:bCs/>
          <w:sz w:val="22"/>
          <w:szCs w:val="22"/>
        </w:rPr>
      </w:pPr>
      <w:r w:rsidRPr="002B6F5C">
        <w:rPr>
          <w:b/>
          <w:bCs/>
          <w:sz w:val="22"/>
          <w:szCs w:val="22"/>
        </w:rPr>
        <w:t>Раздел 1. Описание тарифов</w:t>
      </w:r>
    </w:p>
    <w:p w:rsidR="002B6F5C" w:rsidRPr="002B6F5C" w:rsidRDefault="002B6F5C" w:rsidP="002B6F5C">
      <w:pPr>
        <w:rPr>
          <w:sz w:val="22"/>
          <w:szCs w:val="22"/>
        </w:rPr>
      </w:pPr>
      <w:r w:rsidRPr="002B6F5C">
        <w:rPr>
          <w:b/>
          <w:bCs/>
          <w:sz w:val="22"/>
          <w:szCs w:val="22"/>
        </w:rPr>
        <w:t>Тариф «Минимальный»</w:t>
      </w:r>
      <w:r w:rsidRPr="002B6F5C">
        <w:rPr>
          <w:sz w:val="22"/>
          <w:szCs w:val="22"/>
        </w:rPr>
        <w:t xml:space="preserve"> - включает одну учетную запись сотрудника Пользователя и позволяет использовать следующие возможности  Программы:</w:t>
      </w:r>
    </w:p>
    <w:p w:rsidR="002B6F5C" w:rsidRPr="002B6F5C" w:rsidRDefault="002B6F5C" w:rsidP="002B6F5C">
      <w:pPr>
        <w:numPr>
          <w:ilvl w:val="0"/>
          <w:numId w:val="1"/>
        </w:numPr>
        <w:contextualSpacing/>
        <w:rPr>
          <w:sz w:val="22"/>
          <w:szCs w:val="22"/>
        </w:rPr>
      </w:pPr>
      <w:r w:rsidRPr="002B6F5C">
        <w:rPr>
          <w:sz w:val="22"/>
          <w:szCs w:val="22"/>
        </w:rPr>
        <w:t>Все функции Программы  ИМС НОВА;</w:t>
      </w:r>
    </w:p>
    <w:p w:rsidR="002B6F5C" w:rsidRPr="002B6F5C" w:rsidRDefault="002B6F5C" w:rsidP="002B6F5C">
      <w:pPr>
        <w:numPr>
          <w:ilvl w:val="0"/>
          <w:numId w:val="1"/>
        </w:numPr>
        <w:contextualSpacing/>
        <w:rPr>
          <w:sz w:val="22"/>
          <w:szCs w:val="22"/>
        </w:rPr>
      </w:pPr>
      <w:r w:rsidRPr="002B6F5C">
        <w:rPr>
          <w:sz w:val="22"/>
          <w:szCs w:val="22"/>
        </w:rPr>
        <w:t xml:space="preserve">Подготовка и отправка в ФТС РФ предварительной информации о товарах (в объеме декларации на товары), перемещаемых морским (речным), автомобильным, </w:t>
      </w:r>
      <w:proofErr w:type="spellStart"/>
      <w:r w:rsidRPr="002B6F5C">
        <w:rPr>
          <w:sz w:val="22"/>
          <w:szCs w:val="22"/>
        </w:rPr>
        <w:t>жд</w:t>
      </w:r>
      <w:proofErr w:type="spellEnd"/>
      <w:r w:rsidRPr="002B6F5C">
        <w:rPr>
          <w:sz w:val="22"/>
          <w:szCs w:val="22"/>
        </w:rPr>
        <w:t xml:space="preserve"> и авиационными видами транспорта;</w:t>
      </w:r>
    </w:p>
    <w:p w:rsidR="002B6F5C" w:rsidRPr="002B6F5C" w:rsidRDefault="002B6F5C" w:rsidP="002B6F5C">
      <w:pPr>
        <w:numPr>
          <w:ilvl w:val="0"/>
          <w:numId w:val="1"/>
        </w:numPr>
        <w:contextualSpacing/>
        <w:rPr>
          <w:sz w:val="22"/>
          <w:szCs w:val="22"/>
        </w:rPr>
      </w:pPr>
      <w:r w:rsidRPr="002B6F5C">
        <w:rPr>
          <w:sz w:val="22"/>
          <w:szCs w:val="22"/>
        </w:rPr>
        <w:t>Работа в режимах: подготовка и отправка уведомлений о ввозе/вывозе товара для Особых экономических зон (ОЭЗ); представление сведений на склад временного хранения Особой экономической зоны (СВХ ОЭЗ); подготовка и отправка документа Пассажирская таможенная декларация (ПТД);</w:t>
      </w:r>
    </w:p>
    <w:p w:rsidR="002B6F5C" w:rsidRPr="002B6F5C" w:rsidRDefault="002B6F5C" w:rsidP="002B6F5C">
      <w:pPr>
        <w:contextualSpacing/>
        <w:rPr>
          <w:sz w:val="22"/>
          <w:szCs w:val="22"/>
        </w:rPr>
      </w:pPr>
    </w:p>
    <w:p w:rsidR="002B6F5C" w:rsidRPr="002B6F5C" w:rsidRDefault="002B6F5C" w:rsidP="002B6F5C">
      <w:pPr>
        <w:rPr>
          <w:sz w:val="22"/>
          <w:szCs w:val="22"/>
        </w:rPr>
      </w:pPr>
      <w:r w:rsidRPr="002B6F5C">
        <w:rPr>
          <w:b/>
          <w:bCs/>
          <w:sz w:val="22"/>
          <w:szCs w:val="22"/>
        </w:rPr>
        <w:t>Тариф «Стандартный»</w:t>
      </w:r>
      <w:r w:rsidRPr="002B6F5C">
        <w:rPr>
          <w:sz w:val="22"/>
          <w:szCs w:val="22"/>
        </w:rPr>
        <w:t xml:space="preserve"> - включает 3 учетные  записи сотрудников и позволяет использовать следующие возможности  Программы, а именно:</w:t>
      </w:r>
    </w:p>
    <w:p w:rsidR="002B6F5C" w:rsidRPr="002B6F5C" w:rsidRDefault="002B6F5C" w:rsidP="002B6F5C">
      <w:pPr>
        <w:numPr>
          <w:ilvl w:val="0"/>
          <w:numId w:val="2"/>
        </w:numPr>
        <w:contextualSpacing/>
        <w:rPr>
          <w:sz w:val="22"/>
          <w:szCs w:val="22"/>
        </w:rPr>
      </w:pPr>
      <w:r w:rsidRPr="002B6F5C">
        <w:rPr>
          <w:sz w:val="22"/>
          <w:szCs w:val="22"/>
        </w:rPr>
        <w:t>Все возможности тарифа Минимальный;</w:t>
      </w:r>
    </w:p>
    <w:p w:rsidR="002B6F5C" w:rsidRPr="002B6F5C" w:rsidRDefault="002B6F5C" w:rsidP="002B6F5C">
      <w:pPr>
        <w:numPr>
          <w:ilvl w:val="0"/>
          <w:numId w:val="2"/>
        </w:numPr>
        <w:contextualSpacing/>
        <w:rPr>
          <w:sz w:val="22"/>
          <w:szCs w:val="22"/>
        </w:rPr>
      </w:pPr>
      <w:r w:rsidRPr="002B6F5C">
        <w:rPr>
          <w:sz w:val="22"/>
          <w:szCs w:val="22"/>
        </w:rPr>
        <w:t>Возможность подключать дополнительные учетные записи сотрудников;</w:t>
      </w:r>
    </w:p>
    <w:p w:rsidR="002B6F5C" w:rsidRPr="002B6F5C" w:rsidRDefault="002B6F5C" w:rsidP="002B6F5C">
      <w:pPr>
        <w:numPr>
          <w:ilvl w:val="0"/>
          <w:numId w:val="2"/>
        </w:numPr>
        <w:contextualSpacing/>
        <w:rPr>
          <w:sz w:val="22"/>
          <w:szCs w:val="22"/>
        </w:rPr>
      </w:pPr>
      <w:r w:rsidRPr="002B6F5C">
        <w:rPr>
          <w:sz w:val="22"/>
          <w:szCs w:val="22"/>
        </w:rPr>
        <w:t>Все возможности, а также импорт сведений из внешних источников в Программе ИМС НОВА;</w:t>
      </w:r>
    </w:p>
    <w:p w:rsidR="002B6F5C" w:rsidRPr="002B6F5C" w:rsidRDefault="002B6F5C" w:rsidP="002B6F5C">
      <w:pPr>
        <w:numPr>
          <w:ilvl w:val="0"/>
          <w:numId w:val="2"/>
        </w:numPr>
        <w:contextualSpacing/>
        <w:rPr>
          <w:b/>
          <w:sz w:val="22"/>
          <w:szCs w:val="22"/>
        </w:rPr>
      </w:pPr>
      <w:r w:rsidRPr="002B6F5C">
        <w:rPr>
          <w:sz w:val="22"/>
          <w:szCs w:val="22"/>
        </w:rPr>
        <w:t>Работа в режимах: Электронное декларирование транзита (ЭТД); Предварительное информирование о прибывающих судах (ПДС), представление сведений на склад временного хранения (СВХ МП).</w:t>
      </w:r>
    </w:p>
    <w:p w:rsidR="002B6F5C" w:rsidRPr="002B6F5C" w:rsidRDefault="002B6F5C" w:rsidP="002B6F5C">
      <w:pPr>
        <w:contextualSpacing/>
        <w:rPr>
          <w:sz w:val="20"/>
          <w:szCs w:val="20"/>
        </w:rPr>
      </w:pPr>
    </w:p>
    <w:p w:rsidR="002B6F5C" w:rsidRPr="002B6F5C" w:rsidRDefault="002B6F5C" w:rsidP="002B6F5C">
      <w:pPr>
        <w:jc w:val="center"/>
        <w:rPr>
          <w:b/>
          <w:sz w:val="22"/>
          <w:szCs w:val="22"/>
        </w:rPr>
      </w:pPr>
      <w:r w:rsidRPr="002B6F5C">
        <w:rPr>
          <w:rFonts w:eastAsia="MS Mincho"/>
          <w:b/>
          <w:color w:val="000000"/>
          <w:sz w:val="22"/>
          <w:szCs w:val="22"/>
          <w:lang w:eastAsia="en-GB"/>
        </w:rPr>
        <w:t>Описание режимов передачи пакета документов</w:t>
      </w:r>
      <w:r w:rsidRPr="002B6F5C">
        <w:rPr>
          <w:b/>
          <w:sz w:val="22"/>
          <w:szCs w:val="22"/>
        </w:rPr>
        <w:t xml:space="preserve"> </w:t>
      </w:r>
      <w:r w:rsidRPr="002B6F5C">
        <w:rPr>
          <w:rFonts w:eastAsia="MS Mincho"/>
          <w:b/>
          <w:color w:val="000000"/>
          <w:sz w:val="22"/>
          <w:szCs w:val="22"/>
          <w:lang w:eastAsia="en-GB"/>
        </w:rPr>
        <w:t>в ЦИТТУ ФТС РФ</w:t>
      </w:r>
    </w:p>
    <w:p w:rsidR="002B6F5C" w:rsidRPr="002B6F5C" w:rsidRDefault="002B6F5C" w:rsidP="002B6F5C">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bottom w:w="142" w:type="dxa"/>
          <w:right w:w="142" w:type="dxa"/>
        </w:tblCellMar>
        <w:tblLook w:val="04A0" w:firstRow="1" w:lastRow="0" w:firstColumn="1" w:lastColumn="0" w:noHBand="0" w:noVBand="1"/>
      </w:tblPr>
      <w:tblGrid>
        <w:gridCol w:w="1757"/>
        <w:gridCol w:w="8307"/>
      </w:tblGrid>
      <w:tr w:rsidR="002B6F5C" w:rsidRPr="002B6F5C" w:rsidTr="00F43A21">
        <w:trPr>
          <w:trHeight w:val="211"/>
        </w:trPr>
        <w:tc>
          <w:tcPr>
            <w:tcW w:w="818" w:type="pct"/>
            <w:vAlign w:val="center"/>
          </w:tcPr>
          <w:p w:rsidR="002B6F5C" w:rsidRPr="002B6F5C" w:rsidRDefault="002B6F5C" w:rsidP="002B6F5C">
            <w:pPr>
              <w:rPr>
                <w:rFonts w:eastAsia="MS Mincho"/>
                <w:b/>
                <w:color w:val="000000"/>
                <w:sz w:val="22"/>
                <w:szCs w:val="22"/>
                <w:lang w:eastAsia="en-GB"/>
              </w:rPr>
            </w:pPr>
            <w:r w:rsidRPr="002B6F5C">
              <w:rPr>
                <w:rFonts w:eastAsia="MS Mincho"/>
                <w:b/>
                <w:color w:val="000000"/>
                <w:sz w:val="22"/>
                <w:szCs w:val="22"/>
                <w:lang w:eastAsia="en-GB"/>
              </w:rPr>
              <w:t>Наименование</w:t>
            </w:r>
          </w:p>
        </w:tc>
        <w:tc>
          <w:tcPr>
            <w:tcW w:w="4182" w:type="pct"/>
            <w:vAlign w:val="center"/>
          </w:tcPr>
          <w:p w:rsidR="002B6F5C" w:rsidRPr="002B6F5C" w:rsidRDefault="002B6F5C" w:rsidP="002B6F5C">
            <w:pPr>
              <w:jc w:val="center"/>
              <w:rPr>
                <w:rFonts w:eastAsia="MS Mincho"/>
                <w:color w:val="000000"/>
                <w:sz w:val="22"/>
                <w:szCs w:val="22"/>
                <w:lang w:eastAsia="en-GB"/>
              </w:rPr>
            </w:pPr>
            <w:r w:rsidRPr="002B6F5C">
              <w:rPr>
                <w:rFonts w:eastAsia="MS Mincho"/>
                <w:b/>
                <w:color w:val="000000"/>
                <w:sz w:val="22"/>
                <w:szCs w:val="22"/>
                <w:lang w:eastAsia="en-GB"/>
              </w:rPr>
              <w:t>Описание</w:t>
            </w:r>
          </w:p>
        </w:tc>
      </w:tr>
      <w:tr w:rsidR="002B6F5C" w:rsidRPr="002B6F5C" w:rsidTr="00F43A21">
        <w:trPr>
          <w:trHeight w:val="615"/>
        </w:trPr>
        <w:tc>
          <w:tcPr>
            <w:tcW w:w="818" w:type="pct"/>
            <w:vAlign w:val="center"/>
          </w:tcPr>
          <w:p w:rsidR="002B6F5C" w:rsidRPr="002B6F5C" w:rsidRDefault="002B6F5C" w:rsidP="002B6F5C">
            <w:pPr>
              <w:rPr>
                <w:rFonts w:eastAsia="MS Mincho"/>
                <w:b/>
                <w:color w:val="000000"/>
                <w:sz w:val="22"/>
                <w:szCs w:val="22"/>
                <w:lang w:eastAsia="en-GB"/>
              </w:rPr>
            </w:pPr>
            <w:r w:rsidRPr="002B6F5C">
              <w:rPr>
                <w:rFonts w:eastAsia="MS Mincho"/>
                <w:b/>
                <w:color w:val="000000"/>
                <w:sz w:val="22"/>
                <w:szCs w:val="22"/>
                <w:lang w:eastAsia="en-GB"/>
              </w:rPr>
              <w:t>ПИ</w:t>
            </w:r>
          </w:p>
        </w:tc>
        <w:tc>
          <w:tcPr>
            <w:tcW w:w="4182" w:type="pct"/>
            <w:vAlign w:val="center"/>
            <w:hideMark/>
          </w:tcPr>
          <w:p w:rsidR="002B6F5C" w:rsidRPr="002B6F5C" w:rsidRDefault="002B6F5C" w:rsidP="002B6F5C">
            <w:pPr>
              <w:rPr>
                <w:rFonts w:eastAsia="MS Mincho"/>
                <w:b/>
                <w:bCs/>
                <w:sz w:val="22"/>
                <w:szCs w:val="22"/>
                <w:lang w:eastAsia="en-GB"/>
              </w:rPr>
            </w:pPr>
            <w:r w:rsidRPr="002B6F5C">
              <w:rPr>
                <w:rFonts w:eastAsia="MS Mincho"/>
                <w:color w:val="000000"/>
                <w:sz w:val="22"/>
                <w:szCs w:val="22"/>
                <w:lang w:eastAsia="en-GB"/>
              </w:rPr>
              <w:t>для предварительного информирования о товарах (в объеме декларации на товары), перемещаемых морским (речным), автомобильным, железнодорожным и авиационными видами транспорта</w:t>
            </w:r>
          </w:p>
        </w:tc>
      </w:tr>
      <w:tr w:rsidR="002B6F5C" w:rsidRPr="002B6F5C" w:rsidTr="00F43A21">
        <w:trPr>
          <w:trHeight w:val="20"/>
        </w:trPr>
        <w:tc>
          <w:tcPr>
            <w:tcW w:w="818" w:type="pct"/>
            <w:vAlign w:val="center"/>
          </w:tcPr>
          <w:p w:rsidR="002B6F5C" w:rsidRPr="002B6F5C" w:rsidRDefault="002B6F5C" w:rsidP="002B6F5C">
            <w:pPr>
              <w:rPr>
                <w:rFonts w:eastAsia="MS Mincho"/>
                <w:b/>
                <w:color w:val="000000"/>
                <w:sz w:val="22"/>
                <w:szCs w:val="22"/>
                <w:lang w:eastAsia="en-GB"/>
              </w:rPr>
            </w:pPr>
            <w:r w:rsidRPr="002B6F5C">
              <w:rPr>
                <w:rFonts w:eastAsia="MS Mincho"/>
                <w:b/>
                <w:color w:val="000000"/>
                <w:sz w:val="22"/>
                <w:szCs w:val="22"/>
                <w:lang w:eastAsia="en-GB"/>
              </w:rPr>
              <w:t>ЭТД</w:t>
            </w:r>
          </w:p>
        </w:tc>
        <w:tc>
          <w:tcPr>
            <w:tcW w:w="4182" w:type="pct"/>
            <w:vAlign w:val="center"/>
            <w:hideMark/>
          </w:tcPr>
          <w:p w:rsidR="002B6F5C" w:rsidRPr="002B6F5C" w:rsidRDefault="002B6F5C" w:rsidP="002B6F5C">
            <w:pPr>
              <w:rPr>
                <w:rFonts w:eastAsia="MS Mincho"/>
                <w:b/>
                <w:bCs/>
                <w:sz w:val="22"/>
                <w:szCs w:val="22"/>
                <w:lang w:eastAsia="en-GB"/>
              </w:rPr>
            </w:pPr>
            <w:r w:rsidRPr="002B6F5C">
              <w:rPr>
                <w:rFonts w:eastAsia="MS Mincho"/>
                <w:color w:val="000000"/>
                <w:sz w:val="22"/>
                <w:szCs w:val="22"/>
                <w:lang w:eastAsia="en-GB"/>
              </w:rPr>
              <w:t>для оформления процедуры электронного таможенного транзита</w:t>
            </w:r>
          </w:p>
        </w:tc>
      </w:tr>
      <w:tr w:rsidR="002B6F5C" w:rsidRPr="002B6F5C" w:rsidTr="00F43A21">
        <w:trPr>
          <w:trHeight w:val="20"/>
        </w:trPr>
        <w:tc>
          <w:tcPr>
            <w:tcW w:w="818" w:type="pct"/>
            <w:vAlign w:val="center"/>
          </w:tcPr>
          <w:p w:rsidR="002B6F5C" w:rsidRPr="002B6F5C" w:rsidRDefault="002B6F5C" w:rsidP="002B6F5C">
            <w:pPr>
              <w:rPr>
                <w:rFonts w:eastAsia="MS Mincho"/>
                <w:b/>
                <w:color w:val="000000"/>
                <w:sz w:val="22"/>
                <w:szCs w:val="22"/>
                <w:lang w:eastAsia="en-GB"/>
              </w:rPr>
            </w:pPr>
            <w:r w:rsidRPr="002B6F5C">
              <w:rPr>
                <w:rFonts w:eastAsia="MS Mincho"/>
                <w:b/>
                <w:color w:val="000000"/>
                <w:sz w:val="22"/>
                <w:szCs w:val="22"/>
                <w:lang w:eastAsia="en-GB"/>
              </w:rPr>
              <w:t>ОЭЗ</w:t>
            </w:r>
          </w:p>
        </w:tc>
        <w:tc>
          <w:tcPr>
            <w:tcW w:w="4182" w:type="pct"/>
            <w:vAlign w:val="center"/>
            <w:hideMark/>
          </w:tcPr>
          <w:p w:rsidR="002B6F5C" w:rsidRPr="002B6F5C" w:rsidRDefault="002B6F5C" w:rsidP="002B6F5C">
            <w:pPr>
              <w:rPr>
                <w:rFonts w:eastAsia="MS Mincho"/>
                <w:b/>
                <w:bCs/>
                <w:sz w:val="22"/>
                <w:szCs w:val="22"/>
                <w:lang w:eastAsia="en-GB"/>
              </w:rPr>
            </w:pPr>
            <w:r w:rsidRPr="002B6F5C">
              <w:rPr>
                <w:rFonts w:eastAsia="MS Mincho"/>
                <w:color w:val="000000"/>
                <w:sz w:val="22"/>
                <w:szCs w:val="22"/>
                <w:lang w:eastAsia="en-GB"/>
              </w:rPr>
              <w:t xml:space="preserve">для получения разрешений о въезде/выезде в/из Особой экономической зоны </w:t>
            </w:r>
          </w:p>
        </w:tc>
      </w:tr>
      <w:tr w:rsidR="002B6F5C" w:rsidRPr="002B6F5C" w:rsidTr="00F43A21">
        <w:trPr>
          <w:trHeight w:val="20"/>
        </w:trPr>
        <w:tc>
          <w:tcPr>
            <w:tcW w:w="818" w:type="pct"/>
            <w:vAlign w:val="center"/>
          </w:tcPr>
          <w:p w:rsidR="002B6F5C" w:rsidRPr="002B6F5C" w:rsidDel="00682827" w:rsidRDefault="002B6F5C" w:rsidP="002B6F5C">
            <w:pPr>
              <w:rPr>
                <w:rFonts w:eastAsia="MS Mincho"/>
                <w:b/>
                <w:color w:val="000000"/>
                <w:sz w:val="22"/>
                <w:szCs w:val="22"/>
                <w:lang w:eastAsia="en-GB"/>
              </w:rPr>
            </w:pPr>
            <w:r w:rsidRPr="002B6F5C">
              <w:rPr>
                <w:rFonts w:eastAsia="MS Mincho"/>
                <w:b/>
                <w:color w:val="000000"/>
                <w:sz w:val="22"/>
                <w:szCs w:val="22"/>
                <w:lang w:eastAsia="en-GB"/>
              </w:rPr>
              <w:t>ПДС</w:t>
            </w:r>
          </w:p>
        </w:tc>
        <w:tc>
          <w:tcPr>
            <w:tcW w:w="4182" w:type="pct"/>
            <w:vAlign w:val="center"/>
            <w:hideMark/>
          </w:tcPr>
          <w:p w:rsidR="002B6F5C" w:rsidRPr="002B6F5C" w:rsidRDefault="002B6F5C" w:rsidP="002B6F5C">
            <w:pPr>
              <w:rPr>
                <w:rFonts w:eastAsia="MS Mincho"/>
                <w:b/>
                <w:bCs/>
                <w:sz w:val="22"/>
                <w:szCs w:val="22"/>
                <w:lang w:eastAsia="en-GB"/>
              </w:rPr>
            </w:pPr>
            <w:r w:rsidRPr="002B6F5C">
              <w:rPr>
                <w:rFonts w:eastAsia="MS Mincho"/>
                <w:color w:val="000000"/>
                <w:sz w:val="22"/>
                <w:szCs w:val="22"/>
                <w:lang w:eastAsia="en-GB"/>
              </w:rPr>
              <w:t xml:space="preserve">для предварительного информирования о прибытии/убытии морского/речного судна  </w:t>
            </w:r>
          </w:p>
        </w:tc>
      </w:tr>
      <w:tr w:rsidR="002B6F5C" w:rsidRPr="002B6F5C" w:rsidTr="00F43A21">
        <w:trPr>
          <w:trHeight w:val="20"/>
        </w:trPr>
        <w:tc>
          <w:tcPr>
            <w:tcW w:w="818" w:type="pct"/>
            <w:vAlign w:val="center"/>
          </w:tcPr>
          <w:p w:rsidR="002B6F5C" w:rsidRPr="002B6F5C" w:rsidRDefault="002B6F5C" w:rsidP="002B6F5C">
            <w:pPr>
              <w:rPr>
                <w:rFonts w:eastAsia="MS Mincho"/>
                <w:b/>
                <w:color w:val="000000"/>
                <w:sz w:val="22"/>
                <w:szCs w:val="22"/>
                <w:lang w:eastAsia="en-GB"/>
              </w:rPr>
            </w:pPr>
            <w:r w:rsidRPr="002B6F5C">
              <w:rPr>
                <w:rFonts w:eastAsia="MS Mincho"/>
                <w:b/>
                <w:color w:val="000000"/>
                <w:sz w:val="22"/>
                <w:szCs w:val="22"/>
                <w:lang w:eastAsia="en-GB"/>
              </w:rPr>
              <w:t>СВХ ОЭЗ</w:t>
            </w:r>
          </w:p>
        </w:tc>
        <w:tc>
          <w:tcPr>
            <w:tcW w:w="4182" w:type="pct"/>
            <w:vAlign w:val="center"/>
            <w:hideMark/>
          </w:tcPr>
          <w:p w:rsidR="002B6F5C" w:rsidRPr="002B6F5C" w:rsidRDefault="002B6F5C" w:rsidP="002B6F5C">
            <w:pPr>
              <w:rPr>
                <w:rFonts w:eastAsia="MS Mincho"/>
                <w:b/>
                <w:bCs/>
                <w:sz w:val="22"/>
                <w:szCs w:val="22"/>
                <w:lang w:eastAsia="en-GB"/>
              </w:rPr>
            </w:pPr>
            <w:r w:rsidRPr="002B6F5C">
              <w:rPr>
                <w:rFonts w:eastAsia="MS Mincho"/>
                <w:color w:val="000000"/>
                <w:sz w:val="22"/>
                <w:szCs w:val="22"/>
                <w:lang w:eastAsia="en-GB"/>
              </w:rPr>
              <w:t>для предоставления сведений о товарах, помещаемых на склад временного хранения Особой экономической зоны</w:t>
            </w:r>
          </w:p>
        </w:tc>
      </w:tr>
      <w:tr w:rsidR="002B6F5C" w:rsidRPr="002B6F5C" w:rsidTr="00F43A21">
        <w:trPr>
          <w:trHeight w:val="20"/>
        </w:trPr>
        <w:tc>
          <w:tcPr>
            <w:tcW w:w="818" w:type="pct"/>
            <w:vAlign w:val="center"/>
          </w:tcPr>
          <w:p w:rsidR="002B6F5C" w:rsidRPr="002B6F5C" w:rsidRDefault="002B6F5C" w:rsidP="002B6F5C">
            <w:pPr>
              <w:rPr>
                <w:rFonts w:eastAsia="MS Mincho"/>
                <w:b/>
                <w:color w:val="000000"/>
                <w:sz w:val="22"/>
                <w:szCs w:val="22"/>
                <w:lang w:eastAsia="en-GB"/>
              </w:rPr>
            </w:pPr>
            <w:r w:rsidRPr="002B6F5C">
              <w:rPr>
                <w:rFonts w:eastAsia="MS Mincho"/>
                <w:b/>
                <w:color w:val="000000"/>
                <w:sz w:val="22"/>
                <w:szCs w:val="22"/>
                <w:lang w:eastAsia="en-GB"/>
              </w:rPr>
              <w:t>СВХ МП</w:t>
            </w:r>
          </w:p>
        </w:tc>
        <w:tc>
          <w:tcPr>
            <w:tcW w:w="4182" w:type="pct"/>
            <w:vAlign w:val="center"/>
          </w:tcPr>
          <w:p w:rsidR="002B6F5C" w:rsidRPr="002B6F5C" w:rsidRDefault="002B6F5C" w:rsidP="002B6F5C">
            <w:pPr>
              <w:rPr>
                <w:rFonts w:eastAsia="MS Mincho"/>
                <w:color w:val="000000"/>
                <w:sz w:val="22"/>
                <w:szCs w:val="22"/>
                <w:lang w:eastAsia="en-GB"/>
              </w:rPr>
            </w:pPr>
            <w:r w:rsidRPr="002B6F5C">
              <w:rPr>
                <w:rFonts w:eastAsia="MS Mincho"/>
                <w:color w:val="000000"/>
                <w:sz w:val="22"/>
                <w:szCs w:val="22"/>
                <w:lang w:eastAsia="en-GB"/>
              </w:rPr>
              <w:t>для предоставления сведений о товарах, помещаемых на склад временного хранения морского перевозчика</w:t>
            </w:r>
          </w:p>
        </w:tc>
      </w:tr>
      <w:tr w:rsidR="002B6F5C" w:rsidRPr="002B6F5C" w:rsidTr="00F43A21">
        <w:trPr>
          <w:trHeight w:val="20"/>
        </w:trPr>
        <w:tc>
          <w:tcPr>
            <w:tcW w:w="818" w:type="pct"/>
            <w:vAlign w:val="center"/>
          </w:tcPr>
          <w:p w:rsidR="002B6F5C" w:rsidRPr="002B6F5C" w:rsidRDefault="002B6F5C" w:rsidP="002B6F5C">
            <w:pPr>
              <w:rPr>
                <w:rFonts w:eastAsia="MS Mincho"/>
                <w:b/>
                <w:color w:val="000000"/>
                <w:sz w:val="22"/>
                <w:szCs w:val="22"/>
                <w:lang w:eastAsia="en-GB"/>
              </w:rPr>
            </w:pPr>
            <w:r w:rsidRPr="002B6F5C">
              <w:rPr>
                <w:b/>
                <w:color w:val="000000"/>
                <w:sz w:val="22"/>
                <w:szCs w:val="22"/>
                <w:lang w:eastAsia="en-GB"/>
              </w:rPr>
              <w:t>ПТД</w:t>
            </w:r>
          </w:p>
        </w:tc>
        <w:tc>
          <w:tcPr>
            <w:tcW w:w="4182" w:type="pct"/>
            <w:vAlign w:val="center"/>
          </w:tcPr>
          <w:p w:rsidR="002B6F5C" w:rsidRPr="002B6F5C" w:rsidRDefault="002B6F5C" w:rsidP="002B6F5C">
            <w:pPr>
              <w:rPr>
                <w:rFonts w:eastAsia="MS Mincho"/>
                <w:color w:val="000000"/>
                <w:sz w:val="22"/>
                <w:szCs w:val="22"/>
                <w:lang w:eastAsia="en-GB"/>
              </w:rPr>
            </w:pPr>
            <w:r w:rsidRPr="002B6F5C">
              <w:rPr>
                <w:color w:val="000000"/>
                <w:sz w:val="22"/>
                <w:szCs w:val="22"/>
                <w:lang w:eastAsia="en-GB"/>
              </w:rPr>
              <w:t>подготовка и отправка документа Пассажирская таможенная декларация.</w:t>
            </w:r>
          </w:p>
        </w:tc>
      </w:tr>
    </w:tbl>
    <w:p w:rsidR="002B6F5C" w:rsidRPr="002B6F5C" w:rsidRDefault="002B6F5C" w:rsidP="002B6F5C">
      <w:pPr>
        <w:contextualSpacing/>
        <w:rPr>
          <w:sz w:val="20"/>
          <w:szCs w:val="20"/>
        </w:rPr>
      </w:pPr>
    </w:p>
    <w:p w:rsidR="002B6F5C" w:rsidRPr="002B6F5C" w:rsidRDefault="002B6F5C" w:rsidP="002B6F5C">
      <w:pPr>
        <w:contextualSpacing/>
        <w:rPr>
          <w:sz w:val="20"/>
          <w:szCs w:val="20"/>
        </w:rPr>
      </w:pPr>
    </w:p>
    <w:p w:rsidR="002B6F5C" w:rsidRPr="002B6F5C" w:rsidRDefault="002B6F5C" w:rsidP="002B6F5C">
      <w:pPr>
        <w:jc w:val="center"/>
        <w:rPr>
          <w:rFonts w:eastAsia="MS Mincho"/>
          <w:b/>
          <w:color w:val="000000"/>
          <w:sz w:val="22"/>
          <w:szCs w:val="22"/>
          <w:lang w:eastAsia="en-GB"/>
        </w:rPr>
      </w:pPr>
      <w:r w:rsidRPr="002B6F5C">
        <w:rPr>
          <w:rFonts w:eastAsia="MS Mincho"/>
          <w:b/>
          <w:color w:val="000000"/>
          <w:sz w:val="22"/>
          <w:szCs w:val="22"/>
          <w:lang w:eastAsia="en-GB"/>
        </w:rPr>
        <w:t xml:space="preserve">Описание дополнительных опций </w:t>
      </w:r>
    </w:p>
    <w:p w:rsidR="002B6F5C" w:rsidRPr="002B6F5C" w:rsidRDefault="002B6F5C" w:rsidP="002B6F5C">
      <w:pPr>
        <w:jc w:val="center"/>
        <w:rPr>
          <w:rFonts w:eastAsia="MS Mincho"/>
          <w:b/>
          <w:color w:val="000000"/>
          <w:sz w:val="22"/>
          <w:szCs w:val="22"/>
          <w:lang w:eastAsia="en-GB"/>
        </w:rPr>
      </w:pPr>
    </w:p>
    <w:p w:rsidR="002B6F5C" w:rsidRPr="002B6F5C" w:rsidRDefault="002B6F5C" w:rsidP="002B6F5C">
      <w:pPr>
        <w:jc w:val="both"/>
        <w:rPr>
          <w:rFonts w:eastAsia="MS Mincho"/>
          <w:b/>
          <w:color w:val="000000"/>
          <w:sz w:val="22"/>
          <w:szCs w:val="22"/>
          <w:lang w:eastAsia="en-GB"/>
        </w:rPr>
      </w:pPr>
      <w:r w:rsidRPr="002B6F5C">
        <w:rPr>
          <w:rFonts w:eastAsia="MS Mincho"/>
          <w:b/>
          <w:color w:val="000000"/>
          <w:sz w:val="22"/>
          <w:szCs w:val="22"/>
          <w:lang w:eastAsia="en-GB"/>
        </w:rPr>
        <w:t xml:space="preserve">Опция «Пакетный» </w:t>
      </w:r>
      <w:r w:rsidRPr="002B6F5C">
        <w:rPr>
          <w:rFonts w:eastAsia="MS Mincho"/>
          <w:color w:val="000000"/>
          <w:sz w:val="22"/>
          <w:szCs w:val="22"/>
          <w:lang w:eastAsia="en-GB"/>
        </w:rPr>
        <w:t xml:space="preserve">- стоимость доставки пакетов рассчитывается исходя из количества отправленных пакетов за расчетный период в соответствии с «Таблицей расчета дополнительного </w:t>
      </w:r>
      <w:r w:rsidRPr="002B6F5C">
        <w:rPr>
          <w:sz w:val="22"/>
          <w:szCs w:val="22"/>
        </w:rPr>
        <w:t>лицензионного</w:t>
      </w:r>
      <w:r w:rsidRPr="002B6F5C">
        <w:rPr>
          <w:b/>
          <w:sz w:val="22"/>
          <w:szCs w:val="22"/>
        </w:rPr>
        <w:t xml:space="preserve"> </w:t>
      </w:r>
      <w:r w:rsidRPr="002B6F5C">
        <w:rPr>
          <w:rFonts w:eastAsia="MS Mincho"/>
          <w:color w:val="000000"/>
          <w:sz w:val="22"/>
          <w:szCs w:val="22"/>
          <w:lang w:eastAsia="en-GB"/>
        </w:rPr>
        <w:t xml:space="preserve">вознаграждения» </w:t>
      </w:r>
    </w:p>
    <w:p w:rsidR="002B6F5C" w:rsidRPr="002B6F5C" w:rsidRDefault="002B6F5C" w:rsidP="002B6F5C">
      <w:pPr>
        <w:contextualSpacing/>
        <w:rPr>
          <w:sz w:val="20"/>
          <w:szCs w:val="20"/>
        </w:rPr>
      </w:pPr>
    </w:p>
    <w:p w:rsidR="002B6F5C" w:rsidRPr="002B6F5C" w:rsidRDefault="002B6F5C" w:rsidP="002B6F5C">
      <w:pPr>
        <w:contextualSpacing/>
        <w:rPr>
          <w:sz w:val="20"/>
          <w:szCs w:val="20"/>
        </w:rPr>
      </w:pPr>
    </w:p>
    <w:p w:rsidR="002B6F5C" w:rsidRPr="002B6F5C" w:rsidRDefault="002B6F5C" w:rsidP="002B6F5C">
      <w:pPr>
        <w:spacing w:after="200" w:line="276" w:lineRule="auto"/>
        <w:rPr>
          <w:sz w:val="20"/>
          <w:szCs w:val="20"/>
        </w:rPr>
      </w:pPr>
      <w:r>
        <w:rPr>
          <w:sz w:val="20"/>
          <w:szCs w:val="20"/>
        </w:rPr>
        <w:br w:type="page"/>
      </w:r>
    </w:p>
    <w:p w:rsidR="002B6F5C" w:rsidRPr="002B6F5C" w:rsidRDefault="002B6F5C" w:rsidP="002B6F5C">
      <w:pPr>
        <w:jc w:val="right"/>
        <w:rPr>
          <w:b/>
          <w:sz w:val="22"/>
          <w:szCs w:val="22"/>
        </w:rPr>
      </w:pPr>
      <w:r w:rsidRPr="002B6F5C">
        <w:rPr>
          <w:b/>
          <w:sz w:val="22"/>
          <w:szCs w:val="22"/>
        </w:rPr>
        <w:lastRenderedPageBreak/>
        <w:t xml:space="preserve">Приложение № 2 </w:t>
      </w:r>
    </w:p>
    <w:p w:rsidR="002B6F5C" w:rsidRPr="002B6F5C" w:rsidRDefault="002B6F5C" w:rsidP="002B6F5C">
      <w:pPr>
        <w:jc w:val="center"/>
        <w:rPr>
          <w:sz w:val="22"/>
          <w:szCs w:val="22"/>
        </w:rPr>
      </w:pPr>
    </w:p>
    <w:p w:rsidR="002B6F5C" w:rsidRPr="002B6F5C" w:rsidRDefault="002B6F5C" w:rsidP="002B6F5C">
      <w:pPr>
        <w:jc w:val="center"/>
        <w:rPr>
          <w:sz w:val="22"/>
          <w:szCs w:val="22"/>
        </w:rPr>
      </w:pPr>
      <w:r w:rsidRPr="002B6F5C">
        <w:rPr>
          <w:b/>
          <w:sz w:val="22"/>
          <w:szCs w:val="22"/>
        </w:rPr>
        <w:t>Раздел 2.</w:t>
      </w:r>
      <w:r w:rsidRPr="002B6F5C">
        <w:rPr>
          <w:sz w:val="22"/>
          <w:szCs w:val="22"/>
        </w:rPr>
        <w:t xml:space="preserve"> </w:t>
      </w:r>
    </w:p>
    <w:p w:rsidR="002B6F5C" w:rsidRPr="002B6F5C" w:rsidRDefault="002B6F5C" w:rsidP="002B6F5C">
      <w:pPr>
        <w:jc w:val="center"/>
        <w:rPr>
          <w:b/>
          <w:sz w:val="22"/>
          <w:szCs w:val="22"/>
        </w:rPr>
      </w:pPr>
      <w:r w:rsidRPr="002B6F5C">
        <w:rPr>
          <w:b/>
          <w:sz w:val="22"/>
          <w:szCs w:val="22"/>
        </w:rPr>
        <w:t>Прейскурант для расчета вознаграждения за использование Программы ИМС НОВА</w:t>
      </w:r>
    </w:p>
    <w:p w:rsidR="002B6F5C" w:rsidRPr="002B6F5C" w:rsidRDefault="002B6F5C" w:rsidP="002B6F5C">
      <w:pPr>
        <w:contextualSpacing/>
        <w:rPr>
          <w:b/>
          <w:sz w:val="20"/>
          <w:szCs w:val="20"/>
        </w:rPr>
      </w:pPr>
    </w:p>
    <w:p w:rsidR="002B6F5C" w:rsidRPr="002B6F5C" w:rsidRDefault="002B6F5C" w:rsidP="002B6F5C">
      <w:pPr>
        <w:widowControl w:val="0"/>
        <w:suppressAutoHyphens/>
        <w:jc w:val="center"/>
        <w:rPr>
          <w:b/>
          <w:sz w:val="22"/>
          <w:szCs w:val="22"/>
          <w:lang w:eastAsia="ar-SA"/>
        </w:rPr>
      </w:pPr>
      <w:r w:rsidRPr="002B6F5C">
        <w:rPr>
          <w:b/>
          <w:sz w:val="22"/>
          <w:szCs w:val="22"/>
          <w:lang w:eastAsia="ar-SA"/>
        </w:rPr>
        <w:t>Таблица 1</w:t>
      </w:r>
    </w:p>
    <w:p w:rsidR="002B6F5C" w:rsidRPr="002B6F5C" w:rsidRDefault="002B6F5C" w:rsidP="002B6F5C">
      <w:pPr>
        <w:suppressAutoHyphens/>
        <w:jc w:val="center"/>
        <w:rPr>
          <w:b/>
          <w:sz w:val="22"/>
          <w:szCs w:val="22"/>
          <w:lang w:eastAsia="ar-SA"/>
        </w:rPr>
      </w:pPr>
      <w:r w:rsidRPr="002B6F5C">
        <w:rPr>
          <w:b/>
          <w:sz w:val="22"/>
          <w:szCs w:val="22"/>
          <w:lang w:eastAsia="ar-SA"/>
        </w:rPr>
        <w:t xml:space="preserve">Таблица расчёта первой части лицензионного вознаграждения </w:t>
      </w:r>
    </w:p>
    <w:p w:rsidR="002B6F5C" w:rsidRPr="002B6F5C" w:rsidRDefault="002B6F5C" w:rsidP="002B6F5C">
      <w:pPr>
        <w:jc w:val="center"/>
        <w:rPr>
          <w:b/>
          <w:sz w:val="22"/>
          <w:szCs w:val="22"/>
        </w:rPr>
      </w:pPr>
      <w:r w:rsidRPr="002B6F5C">
        <w:rPr>
          <w:b/>
          <w:sz w:val="22"/>
          <w:szCs w:val="22"/>
        </w:rPr>
        <w:t>за право использования Программы ИМС НОВА:</w:t>
      </w:r>
    </w:p>
    <w:p w:rsidR="002B6F5C" w:rsidRPr="002B6F5C" w:rsidRDefault="002B6F5C" w:rsidP="002B6F5C">
      <w:pPr>
        <w:jc w:val="cente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0"/>
        <w:gridCol w:w="2013"/>
        <w:gridCol w:w="1833"/>
      </w:tblGrid>
      <w:tr w:rsidR="002B6F5C" w:rsidRPr="002B6F5C" w:rsidTr="00F43A21">
        <w:trPr>
          <w:jc w:val="center"/>
        </w:trPr>
        <w:tc>
          <w:tcPr>
            <w:tcW w:w="3076" w:type="pct"/>
            <w:vMerge w:val="restart"/>
            <w:shd w:val="clear" w:color="auto" w:fill="auto"/>
            <w:vAlign w:val="center"/>
          </w:tcPr>
          <w:p w:rsidR="002B6F5C" w:rsidRPr="002B6F5C" w:rsidRDefault="002B6F5C" w:rsidP="002B6F5C">
            <w:pPr>
              <w:jc w:val="center"/>
              <w:rPr>
                <w:sz w:val="22"/>
                <w:szCs w:val="22"/>
              </w:rPr>
            </w:pPr>
            <w:r w:rsidRPr="002B6F5C">
              <w:rPr>
                <w:sz w:val="22"/>
                <w:szCs w:val="22"/>
              </w:rPr>
              <w:t>Наименование</w:t>
            </w:r>
          </w:p>
        </w:tc>
        <w:tc>
          <w:tcPr>
            <w:tcW w:w="1924" w:type="pct"/>
            <w:gridSpan w:val="2"/>
            <w:shd w:val="clear" w:color="auto" w:fill="auto"/>
            <w:vAlign w:val="center"/>
          </w:tcPr>
          <w:p w:rsidR="002B6F5C" w:rsidRPr="002B6F5C" w:rsidRDefault="002B6F5C" w:rsidP="002B6F5C">
            <w:pPr>
              <w:jc w:val="center"/>
              <w:rPr>
                <w:sz w:val="22"/>
                <w:szCs w:val="22"/>
              </w:rPr>
            </w:pPr>
            <w:r w:rsidRPr="002B6F5C">
              <w:rPr>
                <w:sz w:val="22"/>
                <w:szCs w:val="22"/>
              </w:rPr>
              <w:t>Тариф</w:t>
            </w:r>
          </w:p>
        </w:tc>
      </w:tr>
      <w:tr w:rsidR="002B6F5C" w:rsidRPr="002B6F5C" w:rsidTr="00F43A21">
        <w:trPr>
          <w:jc w:val="center"/>
        </w:trPr>
        <w:tc>
          <w:tcPr>
            <w:tcW w:w="3076" w:type="pct"/>
            <w:vMerge/>
            <w:shd w:val="clear" w:color="auto" w:fill="auto"/>
            <w:vAlign w:val="center"/>
          </w:tcPr>
          <w:p w:rsidR="002B6F5C" w:rsidRPr="002B6F5C" w:rsidRDefault="002B6F5C" w:rsidP="002B6F5C">
            <w:pPr>
              <w:jc w:val="center"/>
              <w:rPr>
                <w:sz w:val="22"/>
                <w:szCs w:val="22"/>
              </w:rPr>
            </w:pPr>
          </w:p>
        </w:tc>
        <w:tc>
          <w:tcPr>
            <w:tcW w:w="1007" w:type="pct"/>
            <w:shd w:val="clear" w:color="auto" w:fill="auto"/>
            <w:vAlign w:val="center"/>
          </w:tcPr>
          <w:p w:rsidR="002B6F5C" w:rsidRPr="002B6F5C" w:rsidRDefault="002B6F5C" w:rsidP="002B6F5C">
            <w:pPr>
              <w:jc w:val="center"/>
              <w:rPr>
                <w:sz w:val="22"/>
                <w:szCs w:val="22"/>
              </w:rPr>
            </w:pPr>
          </w:p>
          <w:p w:rsidR="002B6F5C" w:rsidRPr="002B6F5C" w:rsidRDefault="002B6F5C" w:rsidP="002B6F5C">
            <w:pPr>
              <w:jc w:val="center"/>
              <w:rPr>
                <w:sz w:val="22"/>
                <w:szCs w:val="22"/>
              </w:rPr>
            </w:pPr>
            <w:r w:rsidRPr="002B6F5C">
              <w:rPr>
                <w:sz w:val="22"/>
                <w:szCs w:val="22"/>
              </w:rPr>
              <w:t>Минимальный</w:t>
            </w:r>
          </w:p>
          <w:p w:rsidR="002B6F5C" w:rsidRPr="002B6F5C" w:rsidRDefault="002B6F5C" w:rsidP="002B6F5C">
            <w:pPr>
              <w:jc w:val="center"/>
              <w:rPr>
                <w:sz w:val="22"/>
                <w:szCs w:val="22"/>
              </w:rPr>
            </w:pPr>
          </w:p>
        </w:tc>
        <w:tc>
          <w:tcPr>
            <w:tcW w:w="917" w:type="pct"/>
            <w:shd w:val="clear" w:color="auto" w:fill="auto"/>
            <w:vAlign w:val="center"/>
          </w:tcPr>
          <w:p w:rsidR="002B6F5C" w:rsidRPr="002B6F5C" w:rsidRDefault="002B6F5C" w:rsidP="002B6F5C">
            <w:pPr>
              <w:jc w:val="center"/>
              <w:rPr>
                <w:sz w:val="22"/>
                <w:szCs w:val="22"/>
              </w:rPr>
            </w:pPr>
          </w:p>
          <w:p w:rsidR="002B6F5C" w:rsidRPr="002B6F5C" w:rsidRDefault="002B6F5C" w:rsidP="002B6F5C">
            <w:pPr>
              <w:jc w:val="center"/>
              <w:rPr>
                <w:sz w:val="22"/>
                <w:szCs w:val="22"/>
              </w:rPr>
            </w:pPr>
            <w:r w:rsidRPr="002B6F5C">
              <w:rPr>
                <w:sz w:val="22"/>
                <w:szCs w:val="22"/>
              </w:rPr>
              <w:t>Стандартный</w:t>
            </w:r>
          </w:p>
          <w:p w:rsidR="002B6F5C" w:rsidRPr="002B6F5C" w:rsidRDefault="002B6F5C" w:rsidP="002B6F5C">
            <w:pPr>
              <w:jc w:val="center"/>
              <w:rPr>
                <w:sz w:val="22"/>
                <w:szCs w:val="22"/>
              </w:rPr>
            </w:pPr>
          </w:p>
        </w:tc>
      </w:tr>
      <w:tr w:rsidR="002B6F5C" w:rsidRPr="002B6F5C" w:rsidTr="00F43A21">
        <w:trPr>
          <w:jc w:val="center"/>
        </w:trPr>
        <w:tc>
          <w:tcPr>
            <w:tcW w:w="3076" w:type="pct"/>
            <w:shd w:val="clear" w:color="auto" w:fill="auto"/>
            <w:vAlign w:val="center"/>
          </w:tcPr>
          <w:p w:rsidR="002B6F5C" w:rsidRPr="002B6F5C" w:rsidRDefault="002B6F5C" w:rsidP="002B6F5C">
            <w:pPr>
              <w:rPr>
                <w:sz w:val="22"/>
                <w:szCs w:val="22"/>
              </w:rPr>
            </w:pPr>
          </w:p>
          <w:p w:rsidR="002B6F5C" w:rsidRPr="002B6F5C" w:rsidRDefault="002B6F5C" w:rsidP="002B6F5C">
            <w:pPr>
              <w:rPr>
                <w:sz w:val="22"/>
                <w:szCs w:val="22"/>
              </w:rPr>
            </w:pPr>
            <w:r w:rsidRPr="002B6F5C">
              <w:rPr>
                <w:sz w:val="22"/>
                <w:szCs w:val="22"/>
              </w:rPr>
              <w:t>Лицензионное вознаграждение за доступ к Программе, руб./мес.</w:t>
            </w:r>
          </w:p>
          <w:p w:rsidR="002B6F5C" w:rsidRPr="002B6F5C" w:rsidRDefault="002B6F5C" w:rsidP="002B6F5C">
            <w:pPr>
              <w:rPr>
                <w:sz w:val="22"/>
                <w:szCs w:val="22"/>
              </w:rPr>
            </w:pPr>
          </w:p>
        </w:tc>
        <w:tc>
          <w:tcPr>
            <w:tcW w:w="1007" w:type="pct"/>
            <w:shd w:val="clear" w:color="auto" w:fill="auto"/>
            <w:vAlign w:val="center"/>
          </w:tcPr>
          <w:p w:rsidR="002B6F5C" w:rsidRPr="002B6F5C" w:rsidRDefault="002B6F5C" w:rsidP="002B6F5C">
            <w:pPr>
              <w:jc w:val="center"/>
              <w:rPr>
                <w:sz w:val="22"/>
                <w:szCs w:val="22"/>
              </w:rPr>
            </w:pPr>
            <w:r w:rsidRPr="002B6F5C">
              <w:rPr>
                <w:sz w:val="22"/>
                <w:szCs w:val="22"/>
              </w:rPr>
              <w:t xml:space="preserve">2100 </w:t>
            </w:r>
          </w:p>
        </w:tc>
        <w:tc>
          <w:tcPr>
            <w:tcW w:w="917" w:type="pct"/>
            <w:shd w:val="clear" w:color="auto" w:fill="auto"/>
            <w:vAlign w:val="center"/>
          </w:tcPr>
          <w:p w:rsidR="002B6F5C" w:rsidRPr="002B6F5C" w:rsidRDefault="002B6F5C" w:rsidP="002B6F5C">
            <w:pPr>
              <w:jc w:val="center"/>
              <w:rPr>
                <w:sz w:val="22"/>
                <w:szCs w:val="22"/>
              </w:rPr>
            </w:pPr>
            <w:r w:rsidRPr="002B6F5C">
              <w:rPr>
                <w:sz w:val="22"/>
                <w:szCs w:val="22"/>
              </w:rPr>
              <w:t xml:space="preserve">3700 </w:t>
            </w:r>
          </w:p>
        </w:tc>
      </w:tr>
      <w:tr w:rsidR="002B6F5C" w:rsidRPr="002B6F5C" w:rsidTr="00F43A21">
        <w:trPr>
          <w:trHeight w:val="303"/>
          <w:jc w:val="center"/>
        </w:trPr>
        <w:tc>
          <w:tcPr>
            <w:tcW w:w="3076" w:type="pct"/>
            <w:shd w:val="clear" w:color="auto" w:fill="auto"/>
            <w:vAlign w:val="center"/>
          </w:tcPr>
          <w:p w:rsidR="002B6F5C" w:rsidRPr="002B6F5C" w:rsidRDefault="002B6F5C" w:rsidP="002B6F5C">
            <w:pPr>
              <w:rPr>
                <w:sz w:val="22"/>
                <w:szCs w:val="22"/>
              </w:rPr>
            </w:pPr>
          </w:p>
          <w:p w:rsidR="002B6F5C" w:rsidRPr="002B6F5C" w:rsidRDefault="002B6F5C" w:rsidP="002B6F5C">
            <w:pPr>
              <w:rPr>
                <w:sz w:val="22"/>
                <w:szCs w:val="22"/>
              </w:rPr>
            </w:pPr>
            <w:r w:rsidRPr="002B6F5C">
              <w:rPr>
                <w:sz w:val="22"/>
                <w:szCs w:val="22"/>
              </w:rPr>
              <w:t>Включено учетных записей (аккаунтов) пользователя в количестве</w:t>
            </w:r>
          </w:p>
          <w:p w:rsidR="002B6F5C" w:rsidRPr="002B6F5C" w:rsidRDefault="002B6F5C" w:rsidP="002B6F5C">
            <w:pPr>
              <w:rPr>
                <w:sz w:val="22"/>
                <w:szCs w:val="22"/>
              </w:rPr>
            </w:pPr>
          </w:p>
        </w:tc>
        <w:tc>
          <w:tcPr>
            <w:tcW w:w="1007" w:type="pct"/>
            <w:shd w:val="clear" w:color="auto" w:fill="auto"/>
            <w:vAlign w:val="center"/>
          </w:tcPr>
          <w:p w:rsidR="002B6F5C" w:rsidRPr="002B6F5C" w:rsidRDefault="002B6F5C" w:rsidP="002B6F5C">
            <w:pPr>
              <w:jc w:val="center"/>
              <w:rPr>
                <w:sz w:val="22"/>
                <w:szCs w:val="22"/>
              </w:rPr>
            </w:pPr>
            <w:r w:rsidRPr="002B6F5C">
              <w:rPr>
                <w:sz w:val="22"/>
                <w:szCs w:val="22"/>
              </w:rPr>
              <w:t>1</w:t>
            </w:r>
          </w:p>
        </w:tc>
        <w:tc>
          <w:tcPr>
            <w:tcW w:w="917" w:type="pct"/>
            <w:shd w:val="clear" w:color="auto" w:fill="auto"/>
            <w:vAlign w:val="center"/>
          </w:tcPr>
          <w:p w:rsidR="002B6F5C" w:rsidRPr="002B6F5C" w:rsidRDefault="002B6F5C" w:rsidP="002B6F5C">
            <w:pPr>
              <w:jc w:val="center"/>
              <w:rPr>
                <w:sz w:val="22"/>
                <w:szCs w:val="22"/>
              </w:rPr>
            </w:pPr>
            <w:r w:rsidRPr="002B6F5C">
              <w:rPr>
                <w:sz w:val="22"/>
                <w:szCs w:val="22"/>
              </w:rPr>
              <w:t>3</w:t>
            </w:r>
          </w:p>
        </w:tc>
      </w:tr>
      <w:tr w:rsidR="002B6F5C" w:rsidRPr="002B6F5C" w:rsidTr="00F43A21">
        <w:trPr>
          <w:jc w:val="center"/>
        </w:trPr>
        <w:tc>
          <w:tcPr>
            <w:tcW w:w="3076" w:type="pct"/>
            <w:shd w:val="clear" w:color="auto" w:fill="auto"/>
            <w:vAlign w:val="center"/>
          </w:tcPr>
          <w:p w:rsidR="002B6F5C" w:rsidRPr="002B6F5C" w:rsidRDefault="002B6F5C" w:rsidP="002B6F5C">
            <w:pPr>
              <w:rPr>
                <w:sz w:val="22"/>
                <w:szCs w:val="22"/>
              </w:rPr>
            </w:pPr>
          </w:p>
          <w:p w:rsidR="002B6F5C" w:rsidRPr="002B6F5C" w:rsidRDefault="002B6F5C" w:rsidP="002B6F5C">
            <w:pPr>
              <w:rPr>
                <w:sz w:val="22"/>
                <w:szCs w:val="22"/>
              </w:rPr>
            </w:pPr>
            <w:r w:rsidRPr="002B6F5C">
              <w:rPr>
                <w:sz w:val="22"/>
                <w:szCs w:val="22"/>
              </w:rPr>
              <w:t>Дополнительная учетная запись (аккаунт), руб./мес.</w:t>
            </w:r>
          </w:p>
          <w:p w:rsidR="002B6F5C" w:rsidRPr="002B6F5C" w:rsidRDefault="002B6F5C" w:rsidP="002B6F5C">
            <w:pPr>
              <w:rPr>
                <w:sz w:val="22"/>
                <w:szCs w:val="22"/>
              </w:rPr>
            </w:pPr>
          </w:p>
        </w:tc>
        <w:tc>
          <w:tcPr>
            <w:tcW w:w="1007" w:type="pct"/>
            <w:shd w:val="clear" w:color="auto" w:fill="auto"/>
            <w:vAlign w:val="center"/>
          </w:tcPr>
          <w:p w:rsidR="002B6F5C" w:rsidRPr="002B6F5C" w:rsidRDefault="002B6F5C" w:rsidP="002B6F5C">
            <w:pPr>
              <w:jc w:val="center"/>
              <w:rPr>
                <w:sz w:val="22"/>
                <w:szCs w:val="22"/>
              </w:rPr>
            </w:pPr>
            <w:r w:rsidRPr="002B6F5C">
              <w:rPr>
                <w:sz w:val="22"/>
                <w:szCs w:val="22"/>
              </w:rPr>
              <w:t>Не предусмотрено</w:t>
            </w:r>
          </w:p>
        </w:tc>
        <w:tc>
          <w:tcPr>
            <w:tcW w:w="917" w:type="pct"/>
            <w:shd w:val="clear" w:color="auto" w:fill="auto"/>
            <w:vAlign w:val="center"/>
          </w:tcPr>
          <w:p w:rsidR="002B6F5C" w:rsidRPr="002B6F5C" w:rsidRDefault="002B6F5C" w:rsidP="002B6F5C">
            <w:pPr>
              <w:jc w:val="center"/>
              <w:rPr>
                <w:sz w:val="22"/>
                <w:szCs w:val="22"/>
              </w:rPr>
            </w:pPr>
            <w:r w:rsidRPr="002B6F5C">
              <w:rPr>
                <w:sz w:val="22"/>
                <w:szCs w:val="22"/>
              </w:rPr>
              <w:t>370 руб./мес.</w:t>
            </w:r>
          </w:p>
        </w:tc>
      </w:tr>
    </w:tbl>
    <w:p w:rsidR="002B6F5C" w:rsidRPr="002B6F5C" w:rsidRDefault="002B6F5C" w:rsidP="002B6F5C">
      <w:pPr>
        <w:widowControl w:val="0"/>
        <w:suppressAutoHyphens/>
        <w:jc w:val="center"/>
        <w:rPr>
          <w:sz w:val="20"/>
          <w:szCs w:val="20"/>
          <w:lang w:eastAsia="ar-SA"/>
        </w:rPr>
      </w:pPr>
    </w:p>
    <w:p w:rsidR="002B6F5C" w:rsidRPr="002B6F5C" w:rsidRDefault="002B6F5C" w:rsidP="002B6F5C">
      <w:pPr>
        <w:widowControl w:val="0"/>
        <w:suppressAutoHyphens/>
        <w:jc w:val="center"/>
        <w:rPr>
          <w:b/>
          <w:sz w:val="22"/>
          <w:szCs w:val="22"/>
          <w:lang w:eastAsia="ar-SA"/>
        </w:rPr>
      </w:pPr>
      <w:r w:rsidRPr="002B6F5C">
        <w:rPr>
          <w:b/>
          <w:sz w:val="22"/>
          <w:szCs w:val="22"/>
          <w:lang w:eastAsia="ar-SA"/>
        </w:rPr>
        <w:t>Таблица 2</w:t>
      </w:r>
    </w:p>
    <w:p w:rsidR="002B6F5C" w:rsidRPr="002B6F5C" w:rsidRDefault="002B6F5C" w:rsidP="002B6F5C">
      <w:pPr>
        <w:suppressAutoHyphens/>
        <w:jc w:val="center"/>
        <w:rPr>
          <w:b/>
          <w:sz w:val="22"/>
          <w:szCs w:val="22"/>
          <w:lang w:eastAsia="ar-SA"/>
        </w:rPr>
      </w:pPr>
      <w:r w:rsidRPr="002B6F5C">
        <w:rPr>
          <w:b/>
          <w:sz w:val="22"/>
          <w:szCs w:val="22"/>
          <w:lang w:eastAsia="ar-SA"/>
        </w:rPr>
        <w:t>Таблица расчёта второй части лицензионного вознаграждения за право использования Программы ИМС НОВА:</w:t>
      </w:r>
    </w:p>
    <w:p w:rsidR="002B6F5C" w:rsidRPr="002B6F5C" w:rsidRDefault="002B6F5C" w:rsidP="002B6F5C">
      <w:pPr>
        <w:suppressAutoHyphens/>
        <w:jc w:val="center"/>
        <w:rPr>
          <w:sz w:val="22"/>
          <w:szCs w:val="22"/>
          <w:lang w:eastAsia="ar-SA"/>
        </w:rPr>
      </w:pP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1006"/>
        <w:gridCol w:w="1008"/>
        <w:gridCol w:w="1006"/>
        <w:gridCol w:w="1150"/>
        <w:gridCol w:w="1149"/>
        <w:gridCol w:w="1147"/>
      </w:tblGrid>
      <w:tr w:rsidR="002B6F5C" w:rsidRPr="002B6F5C" w:rsidTr="00F43A21">
        <w:trPr>
          <w:jc w:val="center"/>
        </w:trPr>
        <w:tc>
          <w:tcPr>
            <w:tcW w:w="1729" w:type="pct"/>
            <w:vMerge w:val="restart"/>
            <w:tcBorders>
              <w:top w:val="single" w:sz="4" w:space="0" w:color="auto"/>
              <w:left w:val="single" w:sz="4" w:space="0" w:color="auto"/>
              <w:bottom w:val="single" w:sz="4" w:space="0" w:color="auto"/>
              <w:right w:val="single" w:sz="4" w:space="0" w:color="auto"/>
            </w:tcBorders>
            <w:vAlign w:val="center"/>
            <w:hideMark/>
          </w:tcPr>
          <w:p w:rsidR="002B6F5C" w:rsidRPr="002B6F5C" w:rsidRDefault="002B6F5C" w:rsidP="002B6F5C">
            <w:pPr>
              <w:spacing w:line="276" w:lineRule="auto"/>
              <w:jc w:val="center"/>
              <w:rPr>
                <w:sz w:val="22"/>
                <w:szCs w:val="22"/>
                <w:lang w:eastAsia="en-US"/>
              </w:rPr>
            </w:pPr>
            <w:r w:rsidRPr="002B6F5C">
              <w:rPr>
                <w:sz w:val="22"/>
                <w:szCs w:val="22"/>
                <w:lang w:eastAsia="en-US"/>
              </w:rPr>
              <w:t>Наименование режима передачи пакета документов в ЦИТТУ ФТС РФ</w:t>
            </w:r>
          </w:p>
        </w:tc>
        <w:tc>
          <w:tcPr>
            <w:tcW w:w="3271" w:type="pct"/>
            <w:gridSpan w:val="6"/>
            <w:tcBorders>
              <w:top w:val="single" w:sz="4" w:space="0" w:color="auto"/>
              <w:left w:val="single" w:sz="4" w:space="0" w:color="auto"/>
              <w:bottom w:val="single" w:sz="4" w:space="0" w:color="auto"/>
              <w:right w:val="single" w:sz="4" w:space="0" w:color="auto"/>
            </w:tcBorders>
            <w:vAlign w:val="center"/>
            <w:hideMark/>
          </w:tcPr>
          <w:p w:rsidR="002B6F5C" w:rsidRPr="002B6F5C" w:rsidRDefault="002B6F5C" w:rsidP="002B6F5C">
            <w:pPr>
              <w:spacing w:line="276" w:lineRule="auto"/>
              <w:jc w:val="center"/>
              <w:rPr>
                <w:sz w:val="22"/>
                <w:szCs w:val="22"/>
                <w:lang w:eastAsia="en-US"/>
              </w:rPr>
            </w:pPr>
            <w:r w:rsidRPr="002B6F5C">
              <w:rPr>
                <w:sz w:val="22"/>
                <w:szCs w:val="22"/>
                <w:lang w:eastAsia="en-US"/>
              </w:rPr>
              <w:t>Опции «Пакетный» - размер вознаграждения за доставку каждого пакета, руб./мес.</w:t>
            </w:r>
          </w:p>
        </w:tc>
      </w:tr>
      <w:tr w:rsidR="002B6F5C" w:rsidRPr="002B6F5C" w:rsidTr="00F43A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6F5C" w:rsidRPr="002B6F5C" w:rsidRDefault="002B6F5C" w:rsidP="002B6F5C">
            <w:pPr>
              <w:rPr>
                <w:sz w:val="22"/>
                <w:szCs w:val="22"/>
                <w:lang w:eastAsia="en-US"/>
              </w:rPr>
            </w:pPr>
          </w:p>
        </w:tc>
        <w:tc>
          <w:tcPr>
            <w:tcW w:w="509" w:type="pct"/>
            <w:tcBorders>
              <w:top w:val="single" w:sz="4" w:space="0" w:color="auto"/>
              <w:left w:val="single" w:sz="4" w:space="0" w:color="auto"/>
              <w:bottom w:val="single" w:sz="4" w:space="0" w:color="auto"/>
              <w:right w:val="single" w:sz="4" w:space="0" w:color="auto"/>
            </w:tcBorders>
            <w:vAlign w:val="center"/>
            <w:hideMark/>
          </w:tcPr>
          <w:p w:rsidR="002B6F5C" w:rsidRPr="002B6F5C" w:rsidRDefault="002B6F5C" w:rsidP="002B6F5C">
            <w:pPr>
              <w:spacing w:line="276" w:lineRule="auto"/>
              <w:jc w:val="center"/>
              <w:rPr>
                <w:bCs/>
                <w:color w:val="000000"/>
                <w:sz w:val="22"/>
                <w:szCs w:val="22"/>
                <w:lang w:eastAsia="en-GB"/>
              </w:rPr>
            </w:pPr>
            <w:r w:rsidRPr="002B6F5C">
              <w:rPr>
                <w:bCs/>
                <w:color w:val="000000"/>
                <w:sz w:val="22"/>
                <w:szCs w:val="22"/>
                <w:lang w:eastAsia="en-GB"/>
              </w:rPr>
              <w:t>1-10</w:t>
            </w:r>
          </w:p>
          <w:p w:rsidR="002B6F5C" w:rsidRPr="002B6F5C" w:rsidRDefault="002B6F5C" w:rsidP="002B6F5C">
            <w:pPr>
              <w:spacing w:line="276" w:lineRule="auto"/>
              <w:jc w:val="center"/>
              <w:rPr>
                <w:sz w:val="22"/>
                <w:szCs w:val="22"/>
                <w:lang w:eastAsia="en-US"/>
              </w:rPr>
            </w:pPr>
            <w:r w:rsidRPr="002B6F5C">
              <w:rPr>
                <w:bCs/>
                <w:color w:val="000000"/>
                <w:sz w:val="22"/>
                <w:szCs w:val="22"/>
                <w:lang w:eastAsia="en-GB"/>
              </w:rPr>
              <w:t>пакетов</w:t>
            </w:r>
          </w:p>
        </w:tc>
        <w:tc>
          <w:tcPr>
            <w:tcW w:w="510" w:type="pct"/>
            <w:tcBorders>
              <w:top w:val="single" w:sz="4" w:space="0" w:color="auto"/>
              <w:left w:val="single" w:sz="4" w:space="0" w:color="auto"/>
              <w:bottom w:val="single" w:sz="4" w:space="0" w:color="auto"/>
              <w:right w:val="single" w:sz="4" w:space="0" w:color="auto"/>
            </w:tcBorders>
            <w:vAlign w:val="center"/>
            <w:hideMark/>
          </w:tcPr>
          <w:p w:rsidR="002B6F5C" w:rsidRPr="002B6F5C" w:rsidRDefault="002B6F5C" w:rsidP="002B6F5C">
            <w:pPr>
              <w:spacing w:line="276" w:lineRule="auto"/>
              <w:jc w:val="center"/>
              <w:rPr>
                <w:bCs/>
                <w:color w:val="000000"/>
                <w:sz w:val="22"/>
                <w:szCs w:val="22"/>
                <w:lang w:eastAsia="en-GB"/>
              </w:rPr>
            </w:pPr>
            <w:r w:rsidRPr="002B6F5C">
              <w:rPr>
                <w:bCs/>
                <w:color w:val="000000"/>
                <w:sz w:val="22"/>
                <w:szCs w:val="22"/>
                <w:lang w:eastAsia="en-GB"/>
              </w:rPr>
              <w:t>11-20</w:t>
            </w:r>
          </w:p>
          <w:p w:rsidR="002B6F5C" w:rsidRPr="002B6F5C" w:rsidRDefault="002B6F5C" w:rsidP="002B6F5C">
            <w:pPr>
              <w:spacing w:line="276" w:lineRule="auto"/>
              <w:jc w:val="center"/>
              <w:rPr>
                <w:sz w:val="22"/>
                <w:szCs w:val="22"/>
                <w:lang w:eastAsia="en-US"/>
              </w:rPr>
            </w:pPr>
            <w:r w:rsidRPr="002B6F5C">
              <w:rPr>
                <w:bCs/>
                <w:color w:val="000000"/>
                <w:sz w:val="22"/>
                <w:szCs w:val="22"/>
                <w:lang w:eastAsia="en-GB"/>
              </w:rPr>
              <w:t>пакетов</w:t>
            </w:r>
          </w:p>
        </w:tc>
        <w:tc>
          <w:tcPr>
            <w:tcW w:w="509" w:type="pct"/>
            <w:tcBorders>
              <w:top w:val="single" w:sz="4" w:space="0" w:color="auto"/>
              <w:left w:val="single" w:sz="4" w:space="0" w:color="auto"/>
              <w:bottom w:val="single" w:sz="4" w:space="0" w:color="auto"/>
              <w:right w:val="single" w:sz="4" w:space="0" w:color="auto"/>
            </w:tcBorders>
            <w:vAlign w:val="center"/>
            <w:hideMark/>
          </w:tcPr>
          <w:p w:rsidR="002B6F5C" w:rsidRPr="002B6F5C" w:rsidRDefault="002B6F5C" w:rsidP="002B6F5C">
            <w:pPr>
              <w:spacing w:line="276" w:lineRule="auto"/>
              <w:jc w:val="center"/>
              <w:rPr>
                <w:bCs/>
                <w:color w:val="000000"/>
                <w:sz w:val="22"/>
                <w:szCs w:val="22"/>
                <w:lang w:eastAsia="en-GB"/>
              </w:rPr>
            </w:pPr>
            <w:r w:rsidRPr="002B6F5C">
              <w:rPr>
                <w:bCs/>
                <w:color w:val="000000"/>
                <w:sz w:val="22"/>
                <w:szCs w:val="22"/>
                <w:lang w:eastAsia="en-GB"/>
              </w:rPr>
              <w:t>21-50</w:t>
            </w:r>
          </w:p>
          <w:p w:rsidR="002B6F5C" w:rsidRPr="002B6F5C" w:rsidRDefault="002B6F5C" w:rsidP="002B6F5C">
            <w:pPr>
              <w:spacing w:line="276" w:lineRule="auto"/>
              <w:jc w:val="center"/>
              <w:rPr>
                <w:sz w:val="22"/>
                <w:szCs w:val="22"/>
                <w:lang w:eastAsia="en-US"/>
              </w:rPr>
            </w:pPr>
            <w:r w:rsidRPr="002B6F5C">
              <w:rPr>
                <w:bCs/>
                <w:color w:val="000000"/>
                <w:sz w:val="22"/>
                <w:szCs w:val="22"/>
                <w:lang w:eastAsia="en-GB"/>
              </w:rPr>
              <w:t>пакетов</w:t>
            </w:r>
          </w:p>
        </w:tc>
        <w:tc>
          <w:tcPr>
            <w:tcW w:w="582" w:type="pct"/>
            <w:tcBorders>
              <w:top w:val="single" w:sz="4" w:space="0" w:color="auto"/>
              <w:left w:val="single" w:sz="4" w:space="0" w:color="auto"/>
              <w:bottom w:val="single" w:sz="4" w:space="0" w:color="auto"/>
              <w:right w:val="single" w:sz="4" w:space="0" w:color="auto"/>
            </w:tcBorders>
            <w:vAlign w:val="center"/>
            <w:hideMark/>
          </w:tcPr>
          <w:p w:rsidR="002B6F5C" w:rsidRPr="002B6F5C" w:rsidRDefault="002B6F5C" w:rsidP="002B6F5C">
            <w:pPr>
              <w:spacing w:line="276" w:lineRule="auto"/>
              <w:jc w:val="center"/>
              <w:rPr>
                <w:sz w:val="22"/>
                <w:szCs w:val="22"/>
                <w:lang w:eastAsia="en-US"/>
              </w:rPr>
            </w:pPr>
            <w:r w:rsidRPr="002B6F5C">
              <w:rPr>
                <w:bCs/>
                <w:color w:val="000000"/>
                <w:sz w:val="22"/>
                <w:szCs w:val="22"/>
                <w:lang w:eastAsia="en-GB"/>
              </w:rPr>
              <w:t>51 - 100 пакетов</w:t>
            </w:r>
          </w:p>
        </w:tc>
        <w:tc>
          <w:tcPr>
            <w:tcW w:w="581" w:type="pct"/>
            <w:tcBorders>
              <w:top w:val="single" w:sz="4" w:space="0" w:color="auto"/>
              <w:left w:val="single" w:sz="4" w:space="0" w:color="auto"/>
              <w:bottom w:val="single" w:sz="4" w:space="0" w:color="auto"/>
              <w:right w:val="single" w:sz="4" w:space="0" w:color="auto"/>
            </w:tcBorders>
            <w:hideMark/>
          </w:tcPr>
          <w:p w:rsidR="002B6F5C" w:rsidRPr="002B6F5C" w:rsidRDefault="002B6F5C" w:rsidP="002B6F5C">
            <w:pPr>
              <w:spacing w:line="276" w:lineRule="auto"/>
              <w:jc w:val="center"/>
              <w:rPr>
                <w:bCs/>
                <w:color w:val="000000"/>
                <w:sz w:val="22"/>
                <w:szCs w:val="22"/>
                <w:lang w:eastAsia="en-GB"/>
              </w:rPr>
            </w:pPr>
            <w:r w:rsidRPr="002B6F5C">
              <w:rPr>
                <w:bCs/>
                <w:color w:val="000000"/>
                <w:sz w:val="22"/>
                <w:szCs w:val="22"/>
                <w:lang w:eastAsia="en-GB"/>
              </w:rPr>
              <w:t>101-200</w:t>
            </w:r>
          </w:p>
          <w:p w:rsidR="002B6F5C" w:rsidRPr="002B6F5C" w:rsidRDefault="002B6F5C" w:rsidP="002B6F5C">
            <w:pPr>
              <w:spacing w:line="276" w:lineRule="auto"/>
              <w:jc w:val="center"/>
              <w:rPr>
                <w:sz w:val="22"/>
                <w:szCs w:val="22"/>
                <w:lang w:eastAsia="en-US"/>
              </w:rPr>
            </w:pPr>
            <w:r w:rsidRPr="002B6F5C">
              <w:rPr>
                <w:bCs/>
                <w:color w:val="000000"/>
                <w:sz w:val="22"/>
                <w:szCs w:val="22"/>
                <w:lang w:eastAsia="en-GB"/>
              </w:rPr>
              <w:t>пакетов</w:t>
            </w:r>
          </w:p>
        </w:tc>
        <w:tc>
          <w:tcPr>
            <w:tcW w:w="580" w:type="pct"/>
            <w:tcBorders>
              <w:top w:val="single" w:sz="4" w:space="0" w:color="auto"/>
              <w:left w:val="single" w:sz="4" w:space="0" w:color="auto"/>
              <w:bottom w:val="single" w:sz="4" w:space="0" w:color="auto"/>
              <w:right w:val="single" w:sz="4" w:space="0" w:color="auto"/>
            </w:tcBorders>
            <w:hideMark/>
          </w:tcPr>
          <w:p w:rsidR="002B6F5C" w:rsidRPr="002B6F5C" w:rsidRDefault="002B6F5C" w:rsidP="002B6F5C">
            <w:pPr>
              <w:spacing w:line="276" w:lineRule="auto"/>
              <w:jc w:val="center"/>
              <w:rPr>
                <w:bCs/>
                <w:color w:val="000000"/>
                <w:sz w:val="22"/>
                <w:szCs w:val="22"/>
                <w:lang w:eastAsia="en-GB"/>
              </w:rPr>
            </w:pPr>
            <w:r w:rsidRPr="002B6F5C">
              <w:rPr>
                <w:bCs/>
                <w:color w:val="000000"/>
                <w:sz w:val="22"/>
                <w:szCs w:val="22"/>
                <w:lang w:eastAsia="en-GB"/>
              </w:rPr>
              <w:t xml:space="preserve">с 201 </w:t>
            </w:r>
          </w:p>
          <w:p w:rsidR="002B6F5C" w:rsidRPr="002B6F5C" w:rsidRDefault="002B6F5C" w:rsidP="002B6F5C">
            <w:pPr>
              <w:spacing w:line="276" w:lineRule="auto"/>
              <w:jc w:val="center"/>
              <w:rPr>
                <w:sz w:val="22"/>
                <w:szCs w:val="22"/>
                <w:lang w:eastAsia="en-US"/>
              </w:rPr>
            </w:pPr>
            <w:r w:rsidRPr="002B6F5C">
              <w:rPr>
                <w:bCs/>
                <w:color w:val="000000"/>
                <w:sz w:val="22"/>
                <w:szCs w:val="22"/>
                <w:lang w:eastAsia="en-GB"/>
              </w:rPr>
              <w:t>пакета</w:t>
            </w:r>
          </w:p>
        </w:tc>
      </w:tr>
      <w:tr w:rsidR="002B6F5C" w:rsidRPr="002B6F5C" w:rsidTr="00F43A21">
        <w:trPr>
          <w:jc w:val="center"/>
        </w:trPr>
        <w:tc>
          <w:tcPr>
            <w:tcW w:w="1729" w:type="pct"/>
            <w:tcBorders>
              <w:top w:val="single" w:sz="4" w:space="0" w:color="auto"/>
              <w:left w:val="single" w:sz="4" w:space="0" w:color="auto"/>
              <w:bottom w:val="single" w:sz="4" w:space="0" w:color="auto"/>
              <w:right w:val="single" w:sz="4" w:space="0" w:color="auto"/>
            </w:tcBorders>
            <w:vAlign w:val="center"/>
            <w:hideMark/>
          </w:tcPr>
          <w:p w:rsidR="002B6F5C" w:rsidRPr="002B6F5C" w:rsidRDefault="002B6F5C" w:rsidP="002B6F5C">
            <w:pPr>
              <w:spacing w:line="276" w:lineRule="auto"/>
              <w:rPr>
                <w:b/>
                <w:sz w:val="22"/>
                <w:szCs w:val="22"/>
                <w:lang w:eastAsia="en-US"/>
              </w:rPr>
            </w:pPr>
            <w:r w:rsidRPr="002B6F5C">
              <w:rPr>
                <w:b/>
                <w:sz w:val="22"/>
                <w:szCs w:val="22"/>
                <w:lang w:eastAsia="en-US"/>
              </w:rPr>
              <w:t>Предварительное информирование о товарах</w:t>
            </w:r>
          </w:p>
          <w:p w:rsidR="002B6F5C" w:rsidRPr="002B6F5C" w:rsidRDefault="002B6F5C" w:rsidP="002B6F5C">
            <w:pPr>
              <w:spacing w:line="276" w:lineRule="auto"/>
              <w:rPr>
                <w:b/>
                <w:sz w:val="22"/>
                <w:szCs w:val="22"/>
                <w:lang w:eastAsia="en-US"/>
              </w:rPr>
            </w:pPr>
            <w:r w:rsidRPr="002B6F5C">
              <w:rPr>
                <w:b/>
                <w:sz w:val="22"/>
                <w:szCs w:val="22"/>
                <w:lang w:eastAsia="en-US"/>
              </w:rPr>
              <w:t>(ПИ/ ПИТ)</w:t>
            </w:r>
          </w:p>
        </w:tc>
        <w:tc>
          <w:tcPr>
            <w:tcW w:w="509" w:type="pct"/>
            <w:tcBorders>
              <w:top w:val="single" w:sz="4" w:space="0" w:color="auto"/>
              <w:left w:val="single" w:sz="4" w:space="0" w:color="auto"/>
              <w:bottom w:val="single" w:sz="4" w:space="0" w:color="auto"/>
              <w:right w:val="single" w:sz="4" w:space="0" w:color="auto"/>
            </w:tcBorders>
            <w:vAlign w:val="center"/>
            <w:hideMark/>
          </w:tcPr>
          <w:p w:rsidR="002B6F5C" w:rsidRPr="002B6F5C" w:rsidRDefault="002B6F5C" w:rsidP="002B6F5C">
            <w:pPr>
              <w:spacing w:line="276" w:lineRule="auto"/>
              <w:jc w:val="center"/>
              <w:rPr>
                <w:sz w:val="22"/>
                <w:szCs w:val="22"/>
                <w:lang w:eastAsia="en-US"/>
              </w:rPr>
            </w:pPr>
            <w:r w:rsidRPr="002B6F5C">
              <w:rPr>
                <w:sz w:val="22"/>
                <w:szCs w:val="22"/>
                <w:lang w:eastAsia="en-US"/>
              </w:rPr>
              <w:t>110</w:t>
            </w:r>
          </w:p>
        </w:tc>
        <w:tc>
          <w:tcPr>
            <w:tcW w:w="510" w:type="pct"/>
            <w:tcBorders>
              <w:top w:val="single" w:sz="4" w:space="0" w:color="auto"/>
              <w:left w:val="single" w:sz="4" w:space="0" w:color="auto"/>
              <w:bottom w:val="single" w:sz="4" w:space="0" w:color="auto"/>
              <w:right w:val="single" w:sz="4" w:space="0" w:color="auto"/>
            </w:tcBorders>
            <w:vAlign w:val="center"/>
            <w:hideMark/>
          </w:tcPr>
          <w:p w:rsidR="002B6F5C" w:rsidRPr="002B6F5C" w:rsidRDefault="002B6F5C" w:rsidP="002B6F5C">
            <w:pPr>
              <w:spacing w:line="276" w:lineRule="auto"/>
              <w:jc w:val="center"/>
              <w:rPr>
                <w:sz w:val="22"/>
                <w:szCs w:val="22"/>
                <w:lang w:eastAsia="en-US"/>
              </w:rPr>
            </w:pPr>
            <w:r w:rsidRPr="002B6F5C">
              <w:rPr>
                <w:sz w:val="22"/>
                <w:szCs w:val="22"/>
                <w:lang w:eastAsia="en-US"/>
              </w:rPr>
              <w:t>100</w:t>
            </w:r>
          </w:p>
        </w:tc>
        <w:tc>
          <w:tcPr>
            <w:tcW w:w="509" w:type="pct"/>
            <w:tcBorders>
              <w:top w:val="single" w:sz="4" w:space="0" w:color="auto"/>
              <w:left w:val="single" w:sz="4" w:space="0" w:color="auto"/>
              <w:bottom w:val="single" w:sz="4" w:space="0" w:color="auto"/>
              <w:right w:val="single" w:sz="4" w:space="0" w:color="auto"/>
            </w:tcBorders>
            <w:vAlign w:val="center"/>
            <w:hideMark/>
          </w:tcPr>
          <w:p w:rsidR="002B6F5C" w:rsidRPr="002B6F5C" w:rsidRDefault="002B6F5C" w:rsidP="002B6F5C">
            <w:pPr>
              <w:spacing w:line="276" w:lineRule="auto"/>
              <w:jc w:val="center"/>
              <w:rPr>
                <w:sz w:val="22"/>
                <w:szCs w:val="22"/>
                <w:lang w:eastAsia="en-US"/>
              </w:rPr>
            </w:pPr>
            <w:r w:rsidRPr="002B6F5C">
              <w:rPr>
                <w:sz w:val="22"/>
                <w:szCs w:val="22"/>
                <w:lang w:eastAsia="en-US"/>
              </w:rPr>
              <w:t>90</w:t>
            </w:r>
          </w:p>
        </w:tc>
        <w:tc>
          <w:tcPr>
            <w:tcW w:w="582" w:type="pct"/>
            <w:tcBorders>
              <w:top w:val="single" w:sz="4" w:space="0" w:color="auto"/>
              <w:left w:val="single" w:sz="4" w:space="0" w:color="auto"/>
              <w:bottom w:val="single" w:sz="4" w:space="0" w:color="auto"/>
              <w:right w:val="single" w:sz="4" w:space="0" w:color="auto"/>
            </w:tcBorders>
            <w:vAlign w:val="center"/>
            <w:hideMark/>
          </w:tcPr>
          <w:p w:rsidR="002B6F5C" w:rsidRPr="002B6F5C" w:rsidRDefault="002B6F5C" w:rsidP="002B6F5C">
            <w:pPr>
              <w:spacing w:line="276" w:lineRule="auto"/>
              <w:jc w:val="center"/>
              <w:rPr>
                <w:sz w:val="22"/>
                <w:szCs w:val="22"/>
                <w:lang w:eastAsia="en-US"/>
              </w:rPr>
            </w:pPr>
            <w:r w:rsidRPr="002B6F5C">
              <w:rPr>
                <w:sz w:val="22"/>
                <w:szCs w:val="22"/>
                <w:lang w:eastAsia="en-US"/>
              </w:rPr>
              <w:t>80</w:t>
            </w:r>
          </w:p>
        </w:tc>
        <w:tc>
          <w:tcPr>
            <w:tcW w:w="581" w:type="pct"/>
            <w:tcBorders>
              <w:top w:val="single" w:sz="4" w:space="0" w:color="auto"/>
              <w:left w:val="single" w:sz="4" w:space="0" w:color="auto"/>
              <w:bottom w:val="single" w:sz="4" w:space="0" w:color="auto"/>
              <w:right w:val="single" w:sz="4" w:space="0" w:color="auto"/>
            </w:tcBorders>
            <w:vAlign w:val="center"/>
            <w:hideMark/>
          </w:tcPr>
          <w:p w:rsidR="002B6F5C" w:rsidRPr="002B6F5C" w:rsidRDefault="002B6F5C" w:rsidP="002B6F5C">
            <w:pPr>
              <w:spacing w:line="276" w:lineRule="auto"/>
              <w:jc w:val="center"/>
              <w:rPr>
                <w:sz w:val="22"/>
                <w:szCs w:val="22"/>
                <w:lang w:eastAsia="en-US"/>
              </w:rPr>
            </w:pPr>
            <w:r w:rsidRPr="002B6F5C">
              <w:rPr>
                <w:sz w:val="22"/>
                <w:szCs w:val="22"/>
                <w:lang w:eastAsia="en-US"/>
              </w:rPr>
              <w:t>75</w:t>
            </w:r>
          </w:p>
        </w:tc>
        <w:tc>
          <w:tcPr>
            <w:tcW w:w="580" w:type="pct"/>
            <w:tcBorders>
              <w:top w:val="single" w:sz="4" w:space="0" w:color="auto"/>
              <w:left w:val="single" w:sz="4" w:space="0" w:color="auto"/>
              <w:bottom w:val="single" w:sz="4" w:space="0" w:color="auto"/>
              <w:right w:val="single" w:sz="4" w:space="0" w:color="auto"/>
            </w:tcBorders>
            <w:vAlign w:val="center"/>
            <w:hideMark/>
          </w:tcPr>
          <w:p w:rsidR="002B6F5C" w:rsidRPr="002B6F5C" w:rsidRDefault="002B6F5C" w:rsidP="002B6F5C">
            <w:pPr>
              <w:spacing w:line="276" w:lineRule="auto"/>
              <w:jc w:val="center"/>
              <w:rPr>
                <w:sz w:val="22"/>
                <w:szCs w:val="22"/>
                <w:lang w:eastAsia="en-US"/>
              </w:rPr>
            </w:pPr>
            <w:r w:rsidRPr="002B6F5C">
              <w:rPr>
                <w:sz w:val="22"/>
                <w:szCs w:val="22"/>
                <w:lang w:eastAsia="en-US"/>
              </w:rPr>
              <w:t>65</w:t>
            </w:r>
          </w:p>
        </w:tc>
      </w:tr>
      <w:tr w:rsidR="002B6F5C" w:rsidRPr="002B6F5C" w:rsidTr="00F43A21">
        <w:trPr>
          <w:jc w:val="center"/>
        </w:trPr>
        <w:tc>
          <w:tcPr>
            <w:tcW w:w="1729"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rPr>
                <w:b/>
                <w:sz w:val="22"/>
                <w:szCs w:val="22"/>
                <w:lang w:eastAsia="en-US"/>
              </w:rPr>
            </w:pPr>
            <w:r w:rsidRPr="002B6F5C">
              <w:rPr>
                <w:b/>
                <w:sz w:val="22"/>
                <w:szCs w:val="22"/>
                <w:lang w:eastAsia="en-US"/>
              </w:rPr>
              <w:t>Поручение на погрузку товаров в порту (ПНП)</w:t>
            </w:r>
          </w:p>
        </w:tc>
        <w:tc>
          <w:tcPr>
            <w:tcW w:w="509"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110</w:t>
            </w:r>
          </w:p>
        </w:tc>
        <w:tc>
          <w:tcPr>
            <w:tcW w:w="510"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100</w:t>
            </w:r>
          </w:p>
        </w:tc>
        <w:tc>
          <w:tcPr>
            <w:tcW w:w="509"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90</w:t>
            </w:r>
          </w:p>
        </w:tc>
        <w:tc>
          <w:tcPr>
            <w:tcW w:w="582"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80</w:t>
            </w:r>
          </w:p>
        </w:tc>
        <w:tc>
          <w:tcPr>
            <w:tcW w:w="581"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75</w:t>
            </w:r>
          </w:p>
        </w:tc>
        <w:tc>
          <w:tcPr>
            <w:tcW w:w="580"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65</w:t>
            </w:r>
          </w:p>
        </w:tc>
      </w:tr>
      <w:tr w:rsidR="002B6F5C" w:rsidRPr="002B6F5C" w:rsidTr="00F43A21">
        <w:trPr>
          <w:jc w:val="center"/>
        </w:trPr>
        <w:tc>
          <w:tcPr>
            <w:tcW w:w="1729"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rPr>
                <w:b/>
                <w:sz w:val="22"/>
                <w:szCs w:val="22"/>
                <w:lang w:eastAsia="en-US"/>
              </w:rPr>
            </w:pPr>
            <w:r w:rsidRPr="002B6F5C">
              <w:rPr>
                <w:b/>
                <w:sz w:val="22"/>
                <w:szCs w:val="22"/>
                <w:lang w:eastAsia="en-US"/>
              </w:rPr>
              <w:t>Электронный Таможенный Транзит (ЭТД)</w:t>
            </w:r>
          </w:p>
        </w:tc>
        <w:tc>
          <w:tcPr>
            <w:tcW w:w="509"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220</w:t>
            </w:r>
          </w:p>
        </w:tc>
        <w:tc>
          <w:tcPr>
            <w:tcW w:w="510"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210</w:t>
            </w:r>
          </w:p>
        </w:tc>
        <w:tc>
          <w:tcPr>
            <w:tcW w:w="509"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200</w:t>
            </w:r>
          </w:p>
        </w:tc>
        <w:tc>
          <w:tcPr>
            <w:tcW w:w="582"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190</w:t>
            </w:r>
          </w:p>
        </w:tc>
        <w:tc>
          <w:tcPr>
            <w:tcW w:w="581"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175</w:t>
            </w:r>
          </w:p>
        </w:tc>
        <w:tc>
          <w:tcPr>
            <w:tcW w:w="580"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150</w:t>
            </w:r>
          </w:p>
        </w:tc>
      </w:tr>
      <w:tr w:rsidR="002B6F5C" w:rsidRPr="002B6F5C" w:rsidTr="00F43A21">
        <w:trPr>
          <w:jc w:val="center"/>
        </w:trPr>
        <w:tc>
          <w:tcPr>
            <w:tcW w:w="1729"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rPr>
                <w:b/>
                <w:sz w:val="22"/>
                <w:szCs w:val="22"/>
                <w:lang w:eastAsia="en-US"/>
              </w:rPr>
            </w:pPr>
            <w:r w:rsidRPr="002B6F5C">
              <w:rPr>
                <w:b/>
                <w:sz w:val="22"/>
                <w:szCs w:val="22"/>
                <w:lang w:eastAsia="en-US"/>
              </w:rPr>
              <w:t>Подача документов на судно (ПДС)</w:t>
            </w:r>
          </w:p>
        </w:tc>
        <w:tc>
          <w:tcPr>
            <w:tcW w:w="509"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400</w:t>
            </w:r>
          </w:p>
        </w:tc>
        <w:tc>
          <w:tcPr>
            <w:tcW w:w="510"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380</w:t>
            </w:r>
          </w:p>
        </w:tc>
        <w:tc>
          <w:tcPr>
            <w:tcW w:w="509"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360</w:t>
            </w:r>
          </w:p>
        </w:tc>
        <w:tc>
          <w:tcPr>
            <w:tcW w:w="582"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330</w:t>
            </w:r>
          </w:p>
        </w:tc>
        <w:tc>
          <w:tcPr>
            <w:tcW w:w="581"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300</w:t>
            </w:r>
          </w:p>
        </w:tc>
        <w:tc>
          <w:tcPr>
            <w:tcW w:w="580"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250</w:t>
            </w:r>
          </w:p>
        </w:tc>
      </w:tr>
      <w:tr w:rsidR="002B6F5C" w:rsidRPr="002B6F5C" w:rsidTr="00F43A21">
        <w:trPr>
          <w:jc w:val="center"/>
        </w:trPr>
        <w:tc>
          <w:tcPr>
            <w:tcW w:w="1729"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rPr>
                <w:b/>
                <w:sz w:val="22"/>
                <w:szCs w:val="22"/>
                <w:lang w:eastAsia="en-US"/>
              </w:rPr>
            </w:pPr>
            <w:r w:rsidRPr="002B6F5C">
              <w:rPr>
                <w:b/>
                <w:sz w:val="22"/>
                <w:szCs w:val="22"/>
                <w:lang w:eastAsia="en-US"/>
              </w:rPr>
              <w:t>Опись СВХ Морской порт</w:t>
            </w:r>
          </w:p>
          <w:p w:rsidR="002B6F5C" w:rsidRPr="002B6F5C" w:rsidRDefault="002B6F5C" w:rsidP="002B6F5C">
            <w:pPr>
              <w:spacing w:line="276" w:lineRule="auto"/>
              <w:rPr>
                <w:b/>
                <w:sz w:val="22"/>
                <w:szCs w:val="22"/>
                <w:lang w:eastAsia="en-US"/>
              </w:rPr>
            </w:pPr>
            <w:r w:rsidRPr="002B6F5C">
              <w:rPr>
                <w:b/>
                <w:sz w:val="22"/>
                <w:szCs w:val="22"/>
                <w:lang w:eastAsia="en-US"/>
              </w:rPr>
              <w:t>(Опись СВХ МП)</w:t>
            </w:r>
          </w:p>
        </w:tc>
        <w:tc>
          <w:tcPr>
            <w:tcW w:w="509"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400</w:t>
            </w:r>
          </w:p>
        </w:tc>
        <w:tc>
          <w:tcPr>
            <w:tcW w:w="510"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380</w:t>
            </w:r>
          </w:p>
        </w:tc>
        <w:tc>
          <w:tcPr>
            <w:tcW w:w="509"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360</w:t>
            </w:r>
          </w:p>
        </w:tc>
        <w:tc>
          <w:tcPr>
            <w:tcW w:w="582"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330</w:t>
            </w:r>
          </w:p>
        </w:tc>
        <w:tc>
          <w:tcPr>
            <w:tcW w:w="581"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300</w:t>
            </w:r>
          </w:p>
        </w:tc>
        <w:tc>
          <w:tcPr>
            <w:tcW w:w="580"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250</w:t>
            </w:r>
          </w:p>
        </w:tc>
      </w:tr>
      <w:tr w:rsidR="002B6F5C" w:rsidRPr="002B6F5C" w:rsidTr="00F43A21">
        <w:trPr>
          <w:trHeight w:val="323"/>
          <w:jc w:val="center"/>
        </w:trPr>
        <w:tc>
          <w:tcPr>
            <w:tcW w:w="1729"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rPr>
                <w:b/>
                <w:sz w:val="22"/>
                <w:szCs w:val="22"/>
                <w:lang w:eastAsia="en-US"/>
              </w:rPr>
            </w:pPr>
            <w:r w:rsidRPr="002B6F5C">
              <w:rPr>
                <w:b/>
                <w:sz w:val="22"/>
                <w:szCs w:val="22"/>
                <w:lang w:eastAsia="en-US"/>
              </w:rPr>
              <w:t>ОЭЗ/ПОЭЗ/ТОСЭР</w:t>
            </w:r>
          </w:p>
        </w:tc>
        <w:tc>
          <w:tcPr>
            <w:tcW w:w="509"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75</w:t>
            </w:r>
          </w:p>
        </w:tc>
        <w:tc>
          <w:tcPr>
            <w:tcW w:w="510"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70</w:t>
            </w:r>
          </w:p>
        </w:tc>
        <w:tc>
          <w:tcPr>
            <w:tcW w:w="509"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65</w:t>
            </w:r>
          </w:p>
        </w:tc>
        <w:tc>
          <w:tcPr>
            <w:tcW w:w="582"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60</w:t>
            </w:r>
          </w:p>
        </w:tc>
        <w:tc>
          <w:tcPr>
            <w:tcW w:w="581"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50</w:t>
            </w:r>
          </w:p>
        </w:tc>
        <w:tc>
          <w:tcPr>
            <w:tcW w:w="580"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40</w:t>
            </w:r>
          </w:p>
        </w:tc>
      </w:tr>
      <w:tr w:rsidR="002B6F5C" w:rsidRPr="002B6F5C" w:rsidTr="00F43A21">
        <w:trPr>
          <w:trHeight w:val="413"/>
          <w:jc w:val="center"/>
        </w:trPr>
        <w:tc>
          <w:tcPr>
            <w:tcW w:w="1729"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rPr>
                <w:b/>
                <w:sz w:val="22"/>
                <w:szCs w:val="22"/>
                <w:lang w:eastAsia="en-US"/>
              </w:rPr>
            </w:pPr>
            <w:r w:rsidRPr="002B6F5C">
              <w:rPr>
                <w:b/>
                <w:sz w:val="22"/>
                <w:szCs w:val="22"/>
                <w:lang w:eastAsia="en-US"/>
              </w:rPr>
              <w:t>Опись СВХ</w:t>
            </w:r>
          </w:p>
        </w:tc>
        <w:tc>
          <w:tcPr>
            <w:tcW w:w="509"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75</w:t>
            </w:r>
          </w:p>
        </w:tc>
        <w:tc>
          <w:tcPr>
            <w:tcW w:w="510"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70</w:t>
            </w:r>
          </w:p>
        </w:tc>
        <w:tc>
          <w:tcPr>
            <w:tcW w:w="509"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65</w:t>
            </w:r>
          </w:p>
        </w:tc>
        <w:tc>
          <w:tcPr>
            <w:tcW w:w="582"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60</w:t>
            </w:r>
          </w:p>
        </w:tc>
        <w:tc>
          <w:tcPr>
            <w:tcW w:w="581"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50</w:t>
            </w:r>
          </w:p>
        </w:tc>
        <w:tc>
          <w:tcPr>
            <w:tcW w:w="580" w:type="pct"/>
            <w:tcBorders>
              <w:top w:val="single" w:sz="4" w:space="0" w:color="auto"/>
              <w:left w:val="single" w:sz="4" w:space="0" w:color="auto"/>
              <w:bottom w:val="single" w:sz="4" w:space="0" w:color="auto"/>
              <w:right w:val="single" w:sz="4" w:space="0" w:color="auto"/>
            </w:tcBorders>
            <w:vAlign w:val="center"/>
          </w:tcPr>
          <w:p w:rsidR="002B6F5C" w:rsidRPr="002B6F5C" w:rsidRDefault="002B6F5C" w:rsidP="002B6F5C">
            <w:pPr>
              <w:spacing w:line="276" w:lineRule="auto"/>
              <w:jc w:val="center"/>
              <w:rPr>
                <w:sz w:val="22"/>
                <w:szCs w:val="22"/>
                <w:lang w:eastAsia="en-US"/>
              </w:rPr>
            </w:pPr>
            <w:r w:rsidRPr="002B6F5C">
              <w:rPr>
                <w:sz w:val="22"/>
                <w:szCs w:val="22"/>
                <w:lang w:eastAsia="en-US"/>
              </w:rPr>
              <w:t>40</w:t>
            </w:r>
          </w:p>
        </w:tc>
      </w:tr>
      <w:tr w:rsidR="002B6F5C" w:rsidRPr="002B6F5C" w:rsidTr="00F43A21">
        <w:trPr>
          <w:jc w:val="center"/>
        </w:trPr>
        <w:tc>
          <w:tcPr>
            <w:tcW w:w="1729" w:type="pct"/>
            <w:tcBorders>
              <w:top w:val="single" w:sz="4" w:space="0" w:color="auto"/>
              <w:left w:val="single" w:sz="4" w:space="0" w:color="auto"/>
              <w:bottom w:val="single" w:sz="4" w:space="0" w:color="auto"/>
              <w:right w:val="single" w:sz="4" w:space="0" w:color="auto"/>
            </w:tcBorders>
            <w:vAlign w:val="center"/>
            <w:hideMark/>
          </w:tcPr>
          <w:p w:rsidR="002B6F5C" w:rsidRPr="002B6F5C" w:rsidRDefault="002B6F5C" w:rsidP="002B6F5C">
            <w:pPr>
              <w:spacing w:line="276" w:lineRule="auto"/>
              <w:rPr>
                <w:b/>
                <w:sz w:val="22"/>
                <w:szCs w:val="22"/>
                <w:lang w:eastAsia="en-US"/>
              </w:rPr>
            </w:pPr>
            <w:r w:rsidRPr="002B6F5C">
              <w:rPr>
                <w:b/>
                <w:sz w:val="22"/>
                <w:szCs w:val="22"/>
                <w:lang w:eastAsia="en-US"/>
              </w:rPr>
              <w:t>Пассажирская Таможенная Декларация (ПТД)</w:t>
            </w:r>
          </w:p>
        </w:tc>
        <w:tc>
          <w:tcPr>
            <w:tcW w:w="509" w:type="pct"/>
            <w:tcBorders>
              <w:top w:val="single" w:sz="4" w:space="0" w:color="auto"/>
              <w:left w:val="single" w:sz="4" w:space="0" w:color="auto"/>
              <w:bottom w:val="single" w:sz="4" w:space="0" w:color="auto"/>
              <w:right w:val="single" w:sz="4" w:space="0" w:color="auto"/>
            </w:tcBorders>
            <w:vAlign w:val="center"/>
            <w:hideMark/>
          </w:tcPr>
          <w:p w:rsidR="002B6F5C" w:rsidRPr="002B6F5C" w:rsidRDefault="002B6F5C" w:rsidP="002B6F5C">
            <w:pPr>
              <w:spacing w:line="276" w:lineRule="auto"/>
              <w:jc w:val="center"/>
              <w:rPr>
                <w:sz w:val="22"/>
                <w:szCs w:val="22"/>
                <w:lang w:eastAsia="en-US"/>
              </w:rPr>
            </w:pPr>
            <w:r w:rsidRPr="002B6F5C">
              <w:rPr>
                <w:sz w:val="22"/>
                <w:szCs w:val="22"/>
                <w:lang w:eastAsia="en-US"/>
              </w:rPr>
              <w:t>25</w:t>
            </w:r>
          </w:p>
        </w:tc>
        <w:tc>
          <w:tcPr>
            <w:tcW w:w="510" w:type="pct"/>
            <w:tcBorders>
              <w:top w:val="single" w:sz="4" w:space="0" w:color="auto"/>
              <w:left w:val="single" w:sz="4" w:space="0" w:color="auto"/>
              <w:bottom w:val="single" w:sz="4" w:space="0" w:color="auto"/>
              <w:right w:val="single" w:sz="4" w:space="0" w:color="auto"/>
            </w:tcBorders>
            <w:vAlign w:val="center"/>
            <w:hideMark/>
          </w:tcPr>
          <w:p w:rsidR="002B6F5C" w:rsidRPr="002B6F5C" w:rsidRDefault="002B6F5C" w:rsidP="002B6F5C">
            <w:pPr>
              <w:spacing w:line="276" w:lineRule="auto"/>
              <w:jc w:val="center"/>
              <w:rPr>
                <w:sz w:val="22"/>
                <w:szCs w:val="22"/>
                <w:lang w:eastAsia="en-US"/>
              </w:rPr>
            </w:pPr>
            <w:r w:rsidRPr="002B6F5C">
              <w:rPr>
                <w:sz w:val="22"/>
                <w:szCs w:val="22"/>
                <w:lang w:eastAsia="en-US"/>
              </w:rPr>
              <w:t>25</w:t>
            </w:r>
          </w:p>
        </w:tc>
        <w:tc>
          <w:tcPr>
            <w:tcW w:w="509" w:type="pct"/>
            <w:tcBorders>
              <w:top w:val="single" w:sz="4" w:space="0" w:color="auto"/>
              <w:left w:val="single" w:sz="4" w:space="0" w:color="auto"/>
              <w:bottom w:val="single" w:sz="4" w:space="0" w:color="auto"/>
              <w:right w:val="single" w:sz="4" w:space="0" w:color="auto"/>
            </w:tcBorders>
            <w:vAlign w:val="center"/>
            <w:hideMark/>
          </w:tcPr>
          <w:p w:rsidR="002B6F5C" w:rsidRPr="002B6F5C" w:rsidRDefault="002B6F5C" w:rsidP="002B6F5C">
            <w:pPr>
              <w:spacing w:line="276" w:lineRule="auto"/>
              <w:jc w:val="center"/>
              <w:rPr>
                <w:sz w:val="22"/>
                <w:szCs w:val="22"/>
                <w:lang w:eastAsia="en-US"/>
              </w:rPr>
            </w:pPr>
            <w:r w:rsidRPr="002B6F5C">
              <w:rPr>
                <w:sz w:val="22"/>
                <w:szCs w:val="22"/>
                <w:lang w:eastAsia="en-US"/>
              </w:rPr>
              <w:t>25</w:t>
            </w:r>
          </w:p>
        </w:tc>
        <w:tc>
          <w:tcPr>
            <w:tcW w:w="582" w:type="pct"/>
            <w:tcBorders>
              <w:top w:val="single" w:sz="4" w:space="0" w:color="auto"/>
              <w:left w:val="single" w:sz="4" w:space="0" w:color="auto"/>
              <w:bottom w:val="single" w:sz="4" w:space="0" w:color="auto"/>
              <w:right w:val="single" w:sz="4" w:space="0" w:color="auto"/>
            </w:tcBorders>
            <w:vAlign w:val="center"/>
            <w:hideMark/>
          </w:tcPr>
          <w:p w:rsidR="002B6F5C" w:rsidRPr="002B6F5C" w:rsidRDefault="002B6F5C" w:rsidP="002B6F5C">
            <w:pPr>
              <w:spacing w:line="276" w:lineRule="auto"/>
              <w:jc w:val="center"/>
              <w:rPr>
                <w:sz w:val="22"/>
                <w:szCs w:val="22"/>
                <w:lang w:eastAsia="en-US"/>
              </w:rPr>
            </w:pPr>
            <w:r w:rsidRPr="002B6F5C">
              <w:rPr>
                <w:sz w:val="22"/>
                <w:szCs w:val="22"/>
                <w:lang w:eastAsia="en-US"/>
              </w:rPr>
              <w:t>25</w:t>
            </w:r>
          </w:p>
        </w:tc>
        <w:tc>
          <w:tcPr>
            <w:tcW w:w="581" w:type="pct"/>
            <w:tcBorders>
              <w:top w:val="single" w:sz="4" w:space="0" w:color="auto"/>
              <w:left w:val="single" w:sz="4" w:space="0" w:color="auto"/>
              <w:bottom w:val="single" w:sz="4" w:space="0" w:color="auto"/>
              <w:right w:val="single" w:sz="4" w:space="0" w:color="auto"/>
            </w:tcBorders>
            <w:vAlign w:val="center"/>
            <w:hideMark/>
          </w:tcPr>
          <w:p w:rsidR="002B6F5C" w:rsidRPr="002B6F5C" w:rsidRDefault="002B6F5C" w:rsidP="002B6F5C">
            <w:pPr>
              <w:spacing w:line="276" w:lineRule="auto"/>
              <w:jc w:val="center"/>
              <w:rPr>
                <w:sz w:val="22"/>
                <w:szCs w:val="22"/>
                <w:lang w:eastAsia="en-US"/>
              </w:rPr>
            </w:pPr>
            <w:r w:rsidRPr="002B6F5C">
              <w:rPr>
                <w:sz w:val="22"/>
                <w:szCs w:val="22"/>
                <w:lang w:eastAsia="en-US"/>
              </w:rPr>
              <w:t>25</w:t>
            </w:r>
          </w:p>
        </w:tc>
        <w:tc>
          <w:tcPr>
            <w:tcW w:w="580" w:type="pct"/>
            <w:tcBorders>
              <w:top w:val="single" w:sz="4" w:space="0" w:color="auto"/>
              <w:left w:val="single" w:sz="4" w:space="0" w:color="auto"/>
              <w:bottom w:val="single" w:sz="4" w:space="0" w:color="auto"/>
              <w:right w:val="single" w:sz="4" w:space="0" w:color="auto"/>
            </w:tcBorders>
            <w:vAlign w:val="center"/>
            <w:hideMark/>
          </w:tcPr>
          <w:p w:rsidR="002B6F5C" w:rsidRPr="002B6F5C" w:rsidRDefault="002B6F5C" w:rsidP="002B6F5C">
            <w:pPr>
              <w:spacing w:line="276" w:lineRule="auto"/>
              <w:jc w:val="center"/>
              <w:rPr>
                <w:sz w:val="22"/>
                <w:szCs w:val="22"/>
                <w:lang w:eastAsia="en-US"/>
              </w:rPr>
            </w:pPr>
            <w:r w:rsidRPr="002B6F5C">
              <w:rPr>
                <w:sz w:val="22"/>
                <w:szCs w:val="22"/>
                <w:lang w:eastAsia="en-US"/>
              </w:rPr>
              <w:t>25</w:t>
            </w:r>
          </w:p>
        </w:tc>
      </w:tr>
    </w:tbl>
    <w:p w:rsidR="002B6F5C" w:rsidRPr="002B6F5C" w:rsidRDefault="002B6F5C" w:rsidP="002B6F5C">
      <w:pPr>
        <w:rPr>
          <w:sz w:val="22"/>
          <w:szCs w:val="22"/>
          <w:lang w:eastAsia="ar-SA"/>
        </w:rPr>
      </w:pPr>
    </w:p>
    <w:p w:rsidR="002B6F5C" w:rsidRPr="002B6F5C" w:rsidRDefault="002B6F5C" w:rsidP="002B6F5C">
      <w:pPr>
        <w:rPr>
          <w:sz w:val="22"/>
          <w:szCs w:val="22"/>
        </w:rPr>
      </w:pPr>
      <w:r w:rsidRPr="002B6F5C">
        <w:rPr>
          <w:sz w:val="22"/>
          <w:szCs w:val="22"/>
        </w:rPr>
        <w:t xml:space="preserve">Сублицензиат применяет Упрощённую систему налогообложения, лицензионное вознаграждение не облагается НДС в связи с применением норм </w:t>
      </w:r>
      <w:proofErr w:type="spellStart"/>
      <w:r w:rsidRPr="002B6F5C">
        <w:rPr>
          <w:sz w:val="22"/>
          <w:szCs w:val="22"/>
        </w:rPr>
        <w:t>пп</w:t>
      </w:r>
      <w:proofErr w:type="spellEnd"/>
      <w:r w:rsidRPr="002B6F5C">
        <w:rPr>
          <w:sz w:val="22"/>
          <w:szCs w:val="22"/>
        </w:rPr>
        <w:t>. 26 п. 2 ст. 149 Налогового Кодекса Российской Федерации.</w:t>
      </w:r>
    </w:p>
    <w:p w:rsidR="002C3C9A" w:rsidRDefault="002B6F5C" w:rsidP="002B6F5C">
      <w:pPr>
        <w:rPr>
          <w:sz w:val="22"/>
          <w:szCs w:val="22"/>
        </w:rPr>
      </w:pPr>
      <w:r w:rsidRPr="002B6F5C">
        <w:rPr>
          <w:sz w:val="22"/>
          <w:szCs w:val="22"/>
        </w:rPr>
        <w:t>Тарифицируются только успешно доставленные пакеты.</w:t>
      </w:r>
    </w:p>
    <w:p w:rsidR="002C3C9A" w:rsidRDefault="002C3C9A">
      <w:pPr>
        <w:spacing w:after="200" w:line="276" w:lineRule="auto"/>
        <w:rPr>
          <w:sz w:val="22"/>
          <w:szCs w:val="22"/>
        </w:rPr>
        <w:sectPr w:rsidR="002C3C9A" w:rsidSect="002C3C9A">
          <w:pgSz w:w="11906" w:h="16838"/>
          <w:pgMar w:top="1134" w:right="850" w:bottom="851" w:left="1276" w:header="708" w:footer="708" w:gutter="0"/>
          <w:cols w:space="708"/>
          <w:docGrid w:linePitch="360"/>
        </w:sectPr>
      </w:pPr>
      <w:r>
        <w:rPr>
          <w:sz w:val="22"/>
          <w:szCs w:val="22"/>
        </w:rPr>
        <w:br w:type="page"/>
      </w:r>
    </w:p>
    <w:p w:rsidR="00364A06" w:rsidRDefault="00364A06" w:rsidP="00364A06">
      <w:pPr>
        <w:spacing w:line="360" w:lineRule="auto"/>
        <w:contextualSpacing/>
        <w:jc w:val="right"/>
        <w:rPr>
          <w:rFonts w:eastAsia="Calibri"/>
          <w:b/>
          <w:sz w:val="22"/>
          <w:szCs w:val="22"/>
          <w:lang w:eastAsia="en-US"/>
        </w:rPr>
      </w:pPr>
      <w:r w:rsidRPr="00364A06">
        <w:rPr>
          <w:rFonts w:eastAsia="Calibri"/>
          <w:b/>
          <w:sz w:val="22"/>
          <w:szCs w:val="22"/>
          <w:lang w:eastAsia="en-US"/>
        </w:rPr>
        <w:lastRenderedPageBreak/>
        <w:t xml:space="preserve">Приложение № </w:t>
      </w:r>
      <w:r>
        <w:rPr>
          <w:rFonts w:eastAsia="Calibri"/>
          <w:b/>
          <w:sz w:val="22"/>
          <w:szCs w:val="22"/>
          <w:lang w:eastAsia="en-US"/>
        </w:rPr>
        <w:t>3</w:t>
      </w:r>
    </w:p>
    <w:p w:rsidR="00364A06" w:rsidRDefault="00364A06" w:rsidP="00364A06">
      <w:pPr>
        <w:spacing w:line="360" w:lineRule="auto"/>
        <w:contextualSpacing/>
        <w:jc w:val="right"/>
        <w:rPr>
          <w:rFonts w:eastAsia="Calibri"/>
          <w:b/>
          <w:sz w:val="22"/>
          <w:szCs w:val="22"/>
          <w:lang w:eastAsia="en-US"/>
        </w:rPr>
      </w:pPr>
    </w:p>
    <w:p w:rsidR="002C3C9A" w:rsidRPr="002C3C9A" w:rsidRDefault="002C3C9A" w:rsidP="002C3C9A">
      <w:pPr>
        <w:spacing w:line="360" w:lineRule="auto"/>
        <w:contextualSpacing/>
        <w:jc w:val="center"/>
        <w:rPr>
          <w:rFonts w:eastAsia="Calibri"/>
          <w:b/>
          <w:sz w:val="22"/>
          <w:szCs w:val="22"/>
          <w:lang w:eastAsia="en-US"/>
        </w:rPr>
      </w:pPr>
      <w:r w:rsidRPr="002C3C9A">
        <w:rPr>
          <w:rFonts w:eastAsia="Calibri"/>
          <w:b/>
          <w:sz w:val="22"/>
          <w:szCs w:val="22"/>
          <w:lang w:eastAsia="en-US"/>
        </w:rPr>
        <w:t>ЗАЯВ</w:t>
      </w:r>
      <w:r>
        <w:rPr>
          <w:rFonts w:eastAsia="Calibri"/>
          <w:b/>
          <w:sz w:val="22"/>
          <w:szCs w:val="22"/>
          <w:lang w:eastAsia="en-US"/>
        </w:rPr>
        <w:t>ЛЕНИЕ</w:t>
      </w:r>
      <w:r w:rsidRPr="002C3C9A">
        <w:rPr>
          <w:rFonts w:eastAsia="Calibri"/>
          <w:b/>
          <w:sz w:val="22"/>
          <w:szCs w:val="22"/>
          <w:lang w:eastAsia="en-US"/>
        </w:rPr>
        <w:t xml:space="preserve"> на подключение к Программе </w:t>
      </w:r>
      <w:r w:rsidRPr="002C3C9A">
        <w:rPr>
          <w:rFonts w:eastAsia="Calibri"/>
          <w:b/>
          <w:color w:val="000000"/>
          <w:sz w:val="22"/>
          <w:szCs w:val="22"/>
          <w:shd w:val="clear" w:color="auto" w:fill="FFFFFF"/>
          <w:lang w:eastAsia="en-US"/>
        </w:rPr>
        <w:t>ИМС НОВА</w:t>
      </w:r>
      <w:r w:rsidRPr="002C3C9A">
        <w:rPr>
          <w:rFonts w:eastAsia="Calibri"/>
          <w:b/>
          <w:sz w:val="22"/>
          <w:szCs w:val="22"/>
          <w:lang w:eastAsia="en-US"/>
        </w:rPr>
        <w:t xml:space="preserve"> </w:t>
      </w:r>
    </w:p>
    <w:tbl>
      <w:tblPr>
        <w:tblW w:w="5000" w:type="pct"/>
        <w:tblLook w:val="01E0" w:firstRow="1" w:lastRow="1" w:firstColumn="1" w:lastColumn="1" w:noHBand="0" w:noVBand="0"/>
      </w:tblPr>
      <w:tblGrid>
        <w:gridCol w:w="9995"/>
      </w:tblGrid>
      <w:tr w:rsidR="002C3C9A" w:rsidRPr="002C3C9A" w:rsidTr="002C3C9A">
        <w:trPr>
          <w:trHeight w:val="253"/>
        </w:trPr>
        <w:tc>
          <w:tcPr>
            <w:tcW w:w="2284" w:type="pct"/>
            <w:vMerge w:val="restart"/>
            <w:vAlign w:val="bottom"/>
          </w:tcPr>
          <w:p w:rsidR="002C3C9A" w:rsidRPr="002C3C9A" w:rsidRDefault="002C3C9A" w:rsidP="002C3C9A">
            <w:pPr>
              <w:jc w:val="right"/>
              <w:rPr>
                <w:sz w:val="20"/>
                <w:szCs w:val="20"/>
              </w:rPr>
            </w:pPr>
          </w:p>
          <w:p w:rsidR="002C3C9A" w:rsidRDefault="002C3C9A" w:rsidP="002C3C9A">
            <w:pPr>
              <w:jc w:val="right"/>
              <w:rPr>
                <w:sz w:val="20"/>
                <w:szCs w:val="20"/>
              </w:rPr>
            </w:pPr>
            <w:r w:rsidRPr="002C3C9A">
              <w:rPr>
                <w:sz w:val="20"/>
                <w:szCs w:val="20"/>
              </w:rPr>
              <w:t>Директору</w:t>
            </w:r>
            <w:r>
              <w:rPr>
                <w:sz w:val="20"/>
                <w:szCs w:val="20"/>
              </w:rPr>
              <w:t xml:space="preserve"> </w:t>
            </w:r>
            <w:r w:rsidRPr="002C3C9A">
              <w:rPr>
                <w:sz w:val="20"/>
                <w:szCs w:val="20"/>
              </w:rPr>
              <w:t>ООО «ОСТМО»</w:t>
            </w:r>
          </w:p>
          <w:p w:rsidR="002C3C9A" w:rsidRPr="002C3C9A" w:rsidRDefault="002C3C9A" w:rsidP="002C3C9A">
            <w:pPr>
              <w:jc w:val="right"/>
              <w:rPr>
                <w:sz w:val="20"/>
                <w:szCs w:val="20"/>
              </w:rPr>
            </w:pPr>
            <w:r w:rsidRPr="002C3C9A">
              <w:rPr>
                <w:sz w:val="20"/>
                <w:szCs w:val="20"/>
              </w:rPr>
              <w:t xml:space="preserve"> </w:t>
            </w:r>
            <w:proofErr w:type="spellStart"/>
            <w:r w:rsidRPr="002C3C9A">
              <w:rPr>
                <w:sz w:val="20"/>
                <w:szCs w:val="20"/>
              </w:rPr>
              <w:t>Дикареву</w:t>
            </w:r>
            <w:proofErr w:type="spellEnd"/>
            <w:r w:rsidRPr="002C3C9A">
              <w:rPr>
                <w:sz w:val="20"/>
                <w:szCs w:val="20"/>
              </w:rPr>
              <w:t xml:space="preserve"> Е.В.</w:t>
            </w:r>
          </w:p>
        </w:tc>
      </w:tr>
      <w:tr w:rsidR="002C3C9A" w:rsidRPr="002C3C9A" w:rsidTr="002C3C9A">
        <w:trPr>
          <w:trHeight w:val="230"/>
        </w:trPr>
        <w:tc>
          <w:tcPr>
            <w:tcW w:w="0" w:type="auto"/>
            <w:vMerge/>
            <w:vAlign w:val="center"/>
            <w:hideMark/>
          </w:tcPr>
          <w:p w:rsidR="002C3C9A" w:rsidRPr="002C3C9A" w:rsidRDefault="002C3C9A" w:rsidP="002C3C9A">
            <w:pPr>
              <w:rPr>
                <w:sz w:val="20"/>
                <w:szCs w:val="20"/>
              </w:rPr>
            </w:pPr>
          </w:p>
        </w:tc>
      </w:tr>
    </w:tbl>
    <w:p w:rsidR="002C3C9A" w:rsidRDefault="002C3C9A" w:rsidP="002C3C9A">
      <w:pPr>
        <w:jc w:val="both"/>
        <w:rPr>
          <w:rFonts w:eastAsia="Calibri"/>
          <w:color w:val="000000"/>
          <w:sz w:val="20"/>
          <w:szCs w:val="22"/>
          <w:shd w:val="clear" w:color="auto" w:fill="FFFFFF"/>
          <w:lang w:eastAsia="en-US"/>
        </w:rPr>
      </w:pPr>
    </w:p>
    <w:p w:rsidR="002C3C9A" w:rsidRPr="002C3C9A" w:rsidRDefault="002C3C9A" w:rsidP="002C3C9A">
      <w:pPr>
        <w:jc w:val="both"/>
        <w:rPr>
          <w:rFonts w:eastAsia="Calibri"/>
          <w:color w:val="000000"/>
          <w:sz w:val="20"/>
          <w:szCs w:val="22"/>
          <w:shd w:val="clear" w:color="auto" w:fill="FFFFFF"/>
          <w:lang w:eastAsia="en-US"/>
        </w:rPr>
      </w:pPr>
    </w:p>
    <w:tbl>
      <w:tblPr>
        <w:tblStyle w:val="a4"/>
        <w:tblW w:w="5000" w:type="pct"/>
        <w:tblLook w:val="04A0" w:firstRow="1" w:lastRow="0" w:firstColumn="1" w:lastColumn="0" w:noHBand="0" w:noVBand="1"/>
      </w:tblPr>
      <w:tblGrid>
        <w:gridCol w:w="830"/>
        <w:gridCol w:w="1869"/>
        <w:gridCol w:w="5407"/>
        <w:gridCol w:w="1889"/>
      </w:tblGrid>
      <w:tr w:rsidR="002C3C9A" w:rsidRPr="002C3C9A" w:rsidTr="002C3C9A">
        <w:tc>
          <w:tcPr>
            <w:tcW w:w="4055" w:type="pct"/>
            <w:gridSpan w:val="3"/>
            <w:tcBorders>
              <w:top w:val="nil"/>
              <w:left w:val="nil"/>
              <w:bottom w:val="single" w:sz="4" w:space="0" w:color="auto"/>
              <w:right w:val="nil"/>
            </w:tcBorders>
            <w:vAlign w:val="center"/>
          </w:tcPr>
          <w:p w:rsidR="002C3C9A" w:rsidRPr="002C3C9A" w:rsidRDefault="002C3C9A" w:rsidP="002C3C9A">
            <w:pPr>
              <w:rPr>
                <w:rFonts w:eastAsia="Calibri"/>
                <w:sz w:val="20"/>
                <w:szCs w:val="22"/>
                <w:shd w:val="clear" w:color="auto" w:fill="FFFFFF"/>
                <w:lang w:eastAsia="en-US"/>
              </w:rPr>
            </w:pPr>
          </w:p>
        </w:tc>
        <w:tc>
          <w:tcPr>
            <w:tcW w:w="945" w:type="pct"/>
            <w:tcBorders>
              <w:top w:val="nil"/>
              <w:left w:val="nil"/>
              <w:bottom w:val="nil"/>
              <w:right w:val="nil"/>
            </w:tcBorders>
            <w:vAlign w:val="bottom"/>
            <w:hideMark/>
          </w:tcPr>
          <w:p w:rsidR="002C3C9A" w:rsidRPr="002C3C9A" w:rsidRDefault="002C3C9A" w:rsidP="002C3C9A">
            <w:pPr>
              <w:jc w:val="center"/>
              <w:rPr>
                <w:rFonts w:eastAsia="Calibri"/>
                <w:sz w:val="20"/>
                <w:szCs w:val="22"/>
                <w:shd w:val="clear" w:color="auto" w:fill="FFFFFF"/>
                <w:lang w:eastAsia="en-US"/>
              </w:rPr>
            </w:pPr>
            <w:r w:rsidRPr="002C3C9A">
              <w:rPr>
                <w:rFonts w:eastAsia="Calibri"/>
                <w:sz w:val="20"/>
                <w:szCs w:val="22"/>
                <w:shd w:val="clear" w:color="auto" w:fill="FFFFFF"/>
                <w:lang w:eastAsia="en-US"/>
              </w:rPr>
              <w:t>(далее - Пользователь)</w:t>
            </w:r>
          </w:p>
        </w:tc>
      </w:tr>
      <w:tr w:rsidR="002C3C9A" w:rsidRPr="002C3C9A" w:rsidTr="002C3C9A">
        <w:trPr>
          <w:trHeight w:val="173"/>
        </w:trPr>
        <w:tc>
          <w:tcPr>
            <w:tcW w:w="4055" w:type="pct"/>
            <w:gridSpan w:val="3"/>
            <w:tcBorders>
              <w:top w:val="single" w:sz="4" w:space="0" w:color="auto"/>
              <w:left w:val="nil"/>
              <w:bottom w:val="nil"/>
              <w:right w:val="nil"/>
            </w:tcBorders>
            <w:hideMark/>
          </w:tcPr>
          <w:p w:rsidR="002C3C9A" w:rsidRPr="002C3C9A" w:rsidRDefault="002C3C9A" w:rsidP="002C3C9A">
            <w:pPr>
              <w:jc w:val="center"/>
              <w:rPr>
                <w:rFonts w:eastAsia="Calibri"/>
                <w:sz w:val="16"/>
                <w:szCs w:val="16"/>
                <w:shd w:val="clear" w:color="auto" w:fill="FFFFFF"/>
                <w:lang w:eastAsia="en-US"/>
              </w:rPr>
            </w:pPr>
            <w:r w:rsidRPr="002C3C9A">
              <w:rPr>
                <w:rFonts w:eastAsia="Calibri"/>
                <w:sz w:val="16"/>
                <w:szCs w:val="16"/>
                <w:shd w:val="clear" w:color="auto" w:fill="FFFFFF"/>
                <w:lang w:eastAsia="en-US"/>
              </w:rPr>
              <w:t>(полное наименование организации, включая организационно-правовую форму)</w:t>
            </w:r>
          </w:p>
        </w:tc>
        <w:tc>
          <w:tcPr>
            <w:tcW w:w="945" w:type="pct"/>
            <w:tcBorders>
              <w:top w:val="nil"/>
              <w:left w:val="nil"/>
              <w:bottom w:val="nil"/>
              <w:right w:val="nil"/>
            </w:tcBorders>
          </w:tcPr>
          <w:p w:rsidR="002C3C9A" w:rsidRPr="002C3C9A" w:rsidRDefault="002C3C9A" w:rsidP="002C3C9A">
            <w:pPr>
              <w:jc w:val="both"/>
              <w:rPr>
                <w:rFonts w:eastAsia="Calibri"/>
                <w:sz w:val="20"/>
                <w:szCs w:val="22"/>
                <w:shd w:val="clear" w:color="auto" w:fill="FFFFFF"/>
                <w:lang w:eastAsia="en-US"/>
              </w:rPr>
            </w:pPr>
          </w:p>
        </w:tc>
      </w:tr>
      <w:tr w:rsidR="002C3C9A" w:rsidRPr="002C3C9A" w:rsidTr="002C3C9A">
        <w:trPr>
          <w:trHeight w:val="377"/>
        </w:trPr>
        <w:tc>
          <w:tcPr>
            <w:tcW w:w="415" w:type="pct"/>
            <w:tcBorders>
              <w:top w:val="nil"/>
              <w:left w:val="nil"/>
              <w:bottom w:val="nil"/>
              <w:right w:val="nil"/>
            </w:tcBorders>
            <w:vAlign w:val="bottom"/>
            <w:hideMark/>
          </w:tcPr>
          <w:p w:rsidR="002C3C9A" w:rsidRPr="002C3C9A" w:rsidRDefault="002C3C9A" w:rsidP="002C3C9A">
            <w:pPr>
              <w:rPr>
                <w:rFonts w:eastAsia="Calibri"/>
                <w:sz w:val="20"/>
                <w:szCs w:val="22"/>
                <w:shd w:val="clear" w:color="auto" w:fill="FFFFFF"/>
                <w:lang w:eastAsia="en-US"/>
              </w:rPr>
            </w:pPr>
            <w:r w:rsidRPr="002C3C9A">
              <w:rPr>
                <w:rFonts w:eastAsia="Calibri"/>
                <w:sz w:val="20"/>
                <w:szCs w:val="22"/>
                <w:shd w:val="clear" w:color="auto" w:fill="FFFFFF"/>
                <w:lang w:eastAsia="en-US"/>
              </w:rPr>
              <w:t>в лице</w:t>
            </w:r>
          </w:p>
        </w:tc>
        <w:tc>
          <w:tcPr>
            <w:tcW w:w="4585" w:type="pct"/>
            <w:gridSpan w:val="3"/>
            <w:tcBorders>
              <w:top w:val="nil"/>
              <w:left w:val="nil"/>
              <w:bottom w:val="single" w:sz="4" w:space="0" w:color="auto"/>
              <w:right w:val="nil"/>
            </w:tcBorders>
            <w:vAlign w:val="bottom"/>
          </w:tcPr>
          <w:p w:rsidR="002C3C9A" w:rsidRPr="002C3C9A" w:rsidRDefault="002C3C9A" w:rsidP="002C3C9A">
            <w:pPr>
              <w:rPr>
                <w:rFonts w:eastAsia="Calibri"/>
                <w:sz w:val="20"/>
                <w:szCs w:val="22"/>
                <w:shd w:val="clear" w:color="auto" w:fill="FFFFFF"/>
                <w:lang w:eastAsia="en-US"/>
              </w:rPr>
            </w:pPr>
          </w:p>
        </w:tc>
      </w:tr>
      <w:tr w:rsidR="002C3C9A" w:rsidRPr="002C3C9A" w:rsidTr="002C3C9A">
        <w:trPr>
          <w:trHeight w:val="123"/>
        </w:trPr>
        <w:tc>
          <w:tcPr>
            <w:tcW w:w="415" w:type="pct"/>
            <w:tcBorders>
              <w:top w:val="nil"/>
              <w:left w:val="nil"/>
              <w:bottom w:val="nil"/>
              <w:right w:val="nil"/>
            </w:tcBorders>
          </w:tcPr>
          <w:p w:rsidR="002C3C9A" w:rsidRPr="002C3C9A" w:rsidRDefault="002C3C9A" w:rsidP="002C3C9A">
            <w:pPr>
              <w:jc w:val="both"/>
              <w:rPr>
                <w:rFonts w:eastAsia="Calibri"/>
                <w:sz w:val="20"/>
                <w:szCs w:val="22"/>
                <w:shd w:val="clear" w:color="auto" w:fill="FFFFFF"/>
                <w:lang w:eastAsia="en-US"/>
              </w:rPr>
            </w:pPr>
          </w:p>
        </w:tc>
        <w:tc>
          <w:tcPr>
            <w:tcW w:w="4585" w:type="pct"/>
            <w:gridSpan w:val="3"/>
            <w:tcBorders>
              <w:top w:val="single" w:sz="4" w:space="0" w:color="auto"/>
              <w:left w:val="nil"/>
              <w:bottom w:val="nil"/>
              <w:right w:val="nil"/>
            </w:tcBorders>
            <w:hideMark/>
          </w:tcPr>
          <w:p w:rsidR="002C3C9A" w:rsidRPr="002C3C9A" w:rsidRDefault="002C3C9A" w:rsidP="002C3C9A">
            <w:pPr>
              <w:jc w:val="center"/>
              <w:rPr>
                <w:rFonts w:eastAsia="Calibri"/>
                <w:sz w:val="16"/>
                <w:szCs w:val="16"/>
                <w:shd w:val="clear" w:color="auto" w:fill="FFFFFF"/>
                <w:lang w:eastAsia="en-US"/>
              </w:rPr>
            </w:pPr>
            <w:r w:rsidRPr="002C3C9A">
              <w:rPr>
                <w:rFonts w:eastAsia="Calibri"/>
                <w:sz w:val="16"/>
                <w:szCs w:val="16"/>
                <w:shd w:val="clear" w:color="auto" w:fill="FFFFFF"/>
                <w:lang w:eastAsia="en-US"/>
              </w:rPr>
              <w:t>(должность, фамилия, имя, отчество руководителя или</w:t>
            </w:r>
            <w:r w:rsidRPr="002C3C9A">
              <w:rPr>
                <w:sz w:val="16"/>
                <w:szCs w:val="16"/>
                <w:shd w:val="clear" w:color="auto" w:fill="FFFFFF"/>
                <w:lang w:eastAsia="en-US"/>
              </w:rPr>
              <w:t xml:space="preserve"> </w:t>
            </w:r>
            <w:r w:rsidRPr="002C3C9A">
              <w:rPr>
                <w:rFonts w:eastAsia="Calibri"/>
                <w:sz w:val="16"/>
                <w:szCs w:val="16"/>
                <w:shd w:val="clear" w:color="auto" w:fill="FFFFFF"/>
                <w:lang w:eastAsia="en-US"/>
              </w:rPr>
              <w:t>иного уполномоченного представителя)</w:t>
            </w:r>
          </w:p>
        </w:tc>
      </w:tr>
      <w:tr w:rsidR="002C3C9A" w:rsidRPr="002C3C9A" w:rsidTr="002C3C9A">
        <w:trPr>
          <w:trHeight w:val="283"/>
        </w:trPr>
        <w:tc>
          <w:tcPr>
            <w:tcW w:w="1350" w:type="pct"/>
            <w:gridSpan w:val="2"/>
            <w:tcBorders>
              <w:top w:val="nil"/>
              <w:left w:val="nil"/>
              <w:bottom w:val="nil"/>
              <w:right w:val="nil"/>
            </w:tcBorders>
            <w:vAlign w:val="bottom"/>
            <w:hideMark/>
          </w:tcPr>
          <w:p w:rsidR="002C3C9A" w:rsidRPr="002C3C9A" w:rsidRDefault="002C3C9A" w:rsidP="002C3C9A">
            <w:pPr>
              <w:rPr>
                <w:rFonts w:eastAsia="Calibri"/>
                <w:sz w:val="20"/>
                <w:szCs w:val="22"/>
                <w:shd w:val="clear" w:color="auto" w:fill="FFFFFF"/>
                <w:lang w:eastAsia="en-US"/>
              </w:rPr>
            </w:pPr>
            <w:r w:rsidRPr="002C3C9A">
              <w:rPr>
                <w:rFonts w:eastAsia="Calibri"/>
                <w:sz w:val="20"/>
                <w:szCs w:val="22"/>
                <w:shd w:val="clear" w:color="auto" w:fill="FFFFFF"/>
                <w:lang w:eastAsia="en-US"/>
              </w:rPr>
              <w:t>действующего на основании</w:t>
            </w:r>
          </w:p>
        </w:tc>
        <w:tc>
          <w:tcPr>
            <w:tcW w:w="3650" w:type="pct"/>
            <w:gridSpan w:val="2"/>
            <w:tcBorders>
              <w:top w:val="nil"/>
              <w:left w:val="nil"/>
              <w:bottom w:val="single" w:sz="4" w:space="0" w:color="auto"/>
              <w:right w:val="nil"/>
            </w:tcBorders>
            <w:vAlign w:val="bottom"/>
          </w:tcPr>
          <w:p w:rsidR="002C3C9A" w:rsidRPr="002C3C9A" w:rsidRDefault="002C3C9A" w:rsidP="002C3C9A">
            <w:pPr>
              <w:rPr>
                <w:rFonts w:eastAsia="Calibri"/>
                <w:sz w:val="20"/>
                <w:szCs w:val="22"/>
                <w:shd w:val="clear" w:color="auto" w:fill="FFFFFF"/>
                <w:lang w:eastAsia="en-US"/>
              </w:rPr>
            </w:pPr>
          </w:p>
        </w:tc>
      </w:tr>
    </w:tbl>
    <w:p w:rsidR="002C3C9A" w:rsidRPr="002C3C9A" w:rsidRDefault="002C3C9A" w:rsidP="002C3C9A">
      <w:pPr>
        <w:jc w:val="both"/>
        <w:rPr>
          <w:rFonts w:eastAsia="Calibri"/>
          <w:color w:val="000000"/>
          <w:sz w:val="20"/>
          <w:szCs w:val="22"/>
          <w:shd w:val="clear" w:color="auto" w:fill="FFFFFF"/>
          <w:lang w:eastAsia="en-US"/>
        </w:rPr>
      </w:pPr>
    </w:p>
    <w:p w:rsidR="002C3C9A" w:rsidRPr="002C3C9A" w:rsidRDefault="002C3C9A" w:rsidP="002C3C9A">
      <w:pPr>
        <w:jc w:val="both"/>
        <w:rPr>
          <w:rFonts w:eastAsia="Calibri"/>
          <w:color w:val="000000"/>
          <w:sz w:val="20"/>
          <w:szCs w:val="22"/>
          <w:shd w:val="clear" w:color="auto" w:fill="FFFFFF"/>
          <w:lang w:eastAsia="en-US"/>
        </w:rPr>
      </w:pPr>
      <w:r w:rsidRPr="002C3C9A">
        <w:rPr>
          <w:rFonts w:eastAsia="Calibri"/>
          <w:color w:val="000000"/>
          <w:sz w:val="20"/>
          <w:szCs w:val="22"/>
          <w:shd w:val="clear" w:color="auto" w:fill="FFFFFF"/>
          <w:lang w:eastAsia="en-US"/>
        </w:rPr>
        <w:t>1)</w:t>
      </w:r>
      <w:r w:rsidRPr="002C3C9A">
        <w:rPr>
          <w:rFonts w:eastAsia="Calibri"/>
          <w:color w:val="000000"/>
          <w:sz w:val="20"/>
          <w:szCs w:val="22"/>
          <w:shd w:val="clear" w:color="auto" w:fill="FFFFFF"/>
          <w:lang w:eastAsia="en-US"/>
        </w:rPr>
        <w:tab/>
        <w:t xml:space="preserve">Заявляет ООО «ОСТМО» (Сублицензиат) о присоединении к </w:t>
      </w:r>
      <w:proofErr w:type="spellStart"/>
      <w:r w:rsidRPr="002C3C9A">
        <w:rPr>
          <w:rFonts w:eastAsia="Calibri"/>
          <w:color w:val="000000"/>
          <w:sz w:val="20"/>
          <w:szCs w:val="22"/>
          <w:shd w:val="clear" w:color="auto" w:fill="FFFFFF"/>
          <w:lang w:eastAsia="en-US"/>
        </w:rPr>
        <w:t>Сублицензионному</w:t>
      </w:r>
      <w:proofErr w:type="spellEnd"/>
      <w:r w:rsidRPr="002C3C9A">
        <w:rPr>
          <w:rFonts w:eastAsia="Calibri"/>
          <w:color w:val="000000"/>
          <w:sz w:val="20"/>
          <w:szCs w:val="22"/>
          <w:shd w:val="clear" w:color="auto" w:fill="FFFFFF"/>
          <w:lang w:eastAsia="en-US"/>
        </w:rPr>
        <w:t xml:space="preserve"> договору от 01.01.2025 г. (далее Договор</w:t>
      </w:r>
      <w:r w:rsidRPr="002C3C9A">
        <w:rPr>
          <w:rFonts w:eastAsia="Calibri"/>
          <w:color w:val="000000"/>
          <w:sz w:val="20"/>
          <w:szCs w:val="22"/>
          <w:highlight w:val="cyan"/>
          <w:shd w:val="clear" w:color="auto" w:fill="FFFFFF"/>
          <w:lang w:eastAsia="en-US"/>
        </w:rPr>
        <w:t xml:space="preserve">) </w:t>
      </w:r>
      <w:r w:rsidRPr="002C3C9A">
        <w:rPr>
          <w:rFonts w:eastAsia="Calibri"/>
          <w:color w:val="000000"/>
          <w:sz w:val="20"/>
          <w:szCs w:val="22"/>
          <w:highlight w:val="cyan"/>
          <w:u w:val="single"/>
          <w:shd w:val="clear" w:color="auto" w:fill="FFFFFF"/>
          <w:lang w:eastAsia="en-US"/>
        </w:rPr>
        <w:t>https://deklarant.ru/wp-content/uploads/2024/07/Sublitsensionnoe-soglashenie-IMS-NOVA.docx</w:t>
      </w:r>
      <w:r w:rsidRPr="002C3C9A">
        <w:rPr>
          <w:rFonts w:eastAsia="Calibri"/>
          <w:color w:val="000000"/>
          <w:sz w:val="20"/>
          <w:szCs w:val="22"/>
          <w:shd w:val="clear" w:color="auto" w:fill="FFFFFF"/>
          <w:lang w:eastAsia="en-US"/>
        </w:rPr>
        <w:t xml:space="preserve"> и подтверждает, что с условиями Договора ознакомлен и принимает на себя в полном объеме права и обязанности, вытекающие из Договора.</w:t>
      </w:r>
    </w:p>
    <w:p w:rsidR="002C3C9A" w:rsidRPr="002C3C9A" w:rsidRDefault="002C3C9A" w:rsidP="002C3C9A">
      <w:pPr>
        <w:jc w:val="both"/>
        <w:rPr>
          <w:rFonts w:eastAsia="Calibri"/>
          <w:b/>
          <w:color w:val="000000"/>
          <w:sz w:val="20"/>
          <w:szCs w:val="22"/>
          <w:shd w:val="clear" w:color="auto" w:fill="FFFFFF"/>
          <w:lang w:eastAsia="en-US"/>
        </w:rPr>
      </w:pPr>
      <w:r w:rsidRPr="002C3C9A">
        <w:rPr>
          <w:rFonts w:eastAsia="Calibri"/>
          <w:color w:val="000000"/>
          <w:sz w:val="20"/>
          <w:szCs w:val="22"/>
          <w:shd w:val="clear" w:color="auto" w:fill="FFFFFF"/>
          <w:lang w:eastAsia="en-US"/>
        </w:rPr>
        <w:t>2)</w:t>
      </w:r>
      <w:r w:rsidRPr="002C3C9A">
        <w:rPr>
          <w:rFonts w:eastAsia="Calibri"/>
          <w:color w:val="000000"/>
          <w:sz w:val="20"/>
          <w:szCs w:val="22"/>
          <w:shd w:val="clear" w:color="auto" w:fill="FFFFFF"/>
          <w:lang w:eastAsia="en-US"/>
        </w:rPr>
        <w:tab/>
        <w:t xml:space="preserve">Просит направить логин и пароль для доступа к  </w:t>
      </w:r>
      <w:r w:rsidRPr="002C3C9A">
        <w:rPr>
          <w:rFonts w:eastAsia="Calibri"/>
          <w:b/>
          <w:color w:val="000000"/>
          <w:sz w:val="20"/>
          <w:szCs w:val="22"/>
          <w:shd w:val="clear" w:color="auto" w:fill="FFFFFF"/>
          <w:lang w:eastAsia="en-US"/>
        </w:rPr>
        <w:t xml:space="preserve">программу </w:t>
      </w:r>
      <w:r w:rsidRPr="002C3C9A">
        <w:rPr>
          <w:rFonts w:eastAsia="Calibri"/>
          <w:b/>
          <w:color w:val="000000"/>
          <w:sz w:val="22"/>
          <w:szCs w:val="22"/>
          <w:shd w:val="clear" w:color="auto" w:fill="FFFFFF"/>
          <w:lang w:eastAsia="en-US"/>
        </w:rPr>
        <w:t>ИМС НОВА</w:t>
      </w:r>
      <w:r w:rsidRPr="002C3C9A">
        <w:rPr>
          <w:rFonts w:eastAsia="Calibri"/>
          <w:b/>
          <w:color w:val="000000"/>
          <w:sz w:val="20"/>
          <w:szCs w:val="22"/>
          <w:shd w:val="clear" w:color="auto" w:fill="FFFFFF"/>
          <w:lang w:eastAsia="en-US"/>
        </w:rPr>
        <w:t xml:space="preserve"> для сотрудников:</w:t>
      </w:r>
    </w:p>
    <w:p w:rsidR="002C3C9A" w:rsidRPr="002C3C9A" w:rsidRDefault="002C3C9A" w:rsidP="002C3C9A">
      <w:pPr>
        <w:jc w:val="both"/>
        <w:rPr>
          <w:rFonts w:eastAsia="Calibri"/>
          <w:color w:val="000000"/>
          <w:sz w:val="20"/>
          <w:szCs w:val="22"/>
          <w:shd w:val="clear" w:color="auto" w:fill="FFFFFF"/>
          <w:lang w:eastAsia="en-US"/>
        </w:rPr>
      </w:pPr>
    </w:p>
    <w:tbl>
      <w:tblPr>
        <w:tblStyle w:val="a4"/>
        <w:tblW w:w="0" w:type="auto"/>
        <w:tblLook w:val="04A0" w:firstRow="1" w:lastRow="0" w:firstColumn="1" w:lastColumn="0" w:noHBand="0" w:noVBand="1"/>
      </w:tblPr>
      <w:tblGrid>
        <w:gridCol w:w="2943"/>
        <w:gridCol w:w="6910"/>
      </w:tblGrid>
      <w:tr w:rsidR="002C3C9A" w:rsidRPr="002C3C9A" w:rsidTr="002C3C9A">
        <w:tc>
          <w:tcPr>
            <w:tcW w:w="2943" w:type="dxa"/>
            <w:tcBorders>
              <w:top w:val="single" w:sz="4" w:space="0" w:color="auto"/>
              <w:left w:val="single" w:sz="4" w:space="0" w:color="auto"/>
              <w:bottom w:val="single" w:sz="4" w:space="0" w:color="auto"/>
              <w:right w:val="single" w:sz="4" w:space="0" w:color="auto"/>
            </w:tcBorders>
            <w:vAlign w:val="center"/>
            <w:hideMark/>
          </w:tcPr>
          <w:p w:rsidR="002C3C9A" w:rsidRPr="002C3C9A" w:rsidRDefault="002C3C9A" w:rsidP="002C3C9A">
            <w:pPr>
              <w:rPr>
                <w:rFonts w:eastAsia="Calibri"/>
                <w:b/>
                <w:sz w:val="18"/>
                <w:szCs w:val="18"/>
                <w:shd w:val="clear" w:color="auto" w:fill="FFFFFF"/>
                <w:lang w:eastAsia="en-US"/>
              </w:rPr>
            </w:pPr>
            <w:r w:rsidRPr="002C3C9A">
              <w:rPr>
                <w:rFonts w:eastAsia="Calibri"/>
                <w:b/>
                <w:sz w:val="18"/>
                <w:szCs w:val="18"/>
                <w:lang w:eastAsia="en-US"/>
              </w:rPr>
              <w:t>ФИО</w:t>
            </w:r>
          </w:p>
        </w:tc>
        <w:tc>
          <w:tcPr>
            <w:tcW w:w="6910" w:type="dxa"/>
            <w:tcBorders>
              <w:top w:val="single" w:sz="4" w:space="0" w:color="auto"/>
              <w:left w:val="single" w:sz="4" w:space="0" w:color="auto"/>
              <w:bottom w:val="single" w:sz="4" w:space="0" w:color="auto"/>
              <w:right w:val="single" w:sz="4" w:space="0" w:color="auto"/>
            </w:tcBorders>
            <w:vAlign w:val="bottom"/>
          </w:tcPr>
          <w:p w:rsidR="002C3C9A" w:rsidRPr="002C3C9A" w:rsidRDefault="002C3C9A" w:rsidP="002C3C9A">
            <w:pPr>
              <w:rPr>
                <w:rFonts w:eastAsia="Calibri"/>
                <w:sz w:val="20"/>
                <w:szCs w:val="22"/>
                <w:shd w:val="clear" w:color="auto" w:fill="FFFFFF"/>
                <w:lang w:eastAsia="en-US"/>
              </w:rPr>
            </w:pPr>
          </w:p>
        </w:tc>
      </w:tr>
      <w:tr w:rsidR="002C3C9A" w:rsidRPr="002C3C9A" w:rsidTr="002C3C9A">
        <w:tc>
          <w:tcPr>
            <w:tcW w:w="2943" w:type="dxa"/>
            <w:tcBorders>
              <w:top w:val="single" w:sz="4" w:space="0" w:color="auto"/>
              <w:left w:val="single" w:sz="4" w:space="0" w:color="auto"/>
              <w:bottom w:val="single" w:sz="4" w:space="0" w:color="auto"/>
              <w:right w:val="single" w:sz="4" w:space="0" w:color="auto"/>
            </w:tcBorders>
            <w:vAlign w:val="center"/>
            <w:hideMark/>
          </w:tcPr>
          <w:p w:rsidR="002C3C9A" w:rsidRPr="002C3C9A" w:rsidRDefault="002C3C9A" w:rsidP="002C3C9A">
            <w:pPr>
              <w:rPr>
                <w:rFonts w:eastAsia="Calibri"/>
                <w:b/>
                <w:sz w:val="18"/>
                <w:szCs w:val="18"/>
                <w:shd w:val="clear" w:color="auto" w:fill="FFFFFF"/>
                <w:lang w:eastAsia="en-US"/>
              </w:rPr>
            </w:pPr>
            <w:r w:rsidRPr="002C3C9A">
              <w:rPr>
                <w:rFonts w:eastAsia="Calibri"/>
                <w:b/>
                <w:sz w:val="18"/>
                <w:szCs w:val="18"/>
                <w:lang w:eastAsia="en-US"/>
              </w:rPr>
              <w:t>Телефон</w:t>
            </w:r>
          </w:p>
        </w:tc>
        <w:tc>
          <w:tcPr>
            <w:tcW w:w="6910" w:type="dxa"/>
            <w:tcBorders>
              <w:top w:val="single" w:sz="4" w:space="0" w:color="auto"/>
              <w:left w:val="single" w:sz="4" w:space="0" w:color="auto"/>
              <w:bottom w:val="single" w:sz="4" w:space="0" w:color="auto"/>
              <w:right w:val="single" w:sz="4" w:space="0" w:color="auto"/>
            </w:tcBorders>
            <w:vAlign w:val="bottom"/>
          </w:tcPr>
          <w:p w:rsidR="002C3C9A" w:rsidRPr="002C3C9A" w:rsidRDefault="002C3C9A" w:rsidP="002C3C9A">
            <w:pPr>
              <w:rPr>
                <w:rFonts w:eastAsia="Calibri"/>
                <w:sz w:val="20"/>
                <w:szCs w:val="22"/>
                <w:shd w:val="clear" w:color="auto" w:fill="FFFFFF"/>
                <w:lang w:eastAsia="en-US"/>
              </w:rPr>
            </w:pPr>
          </w:p>
        </w:tc>
      </w:tr>
      <w:tr w:rsidR="002C3C9A" w:rsidRPr="002C3C9A" w:rsidTr="002C3C9A">
        <w:tc>
          <w:tcPr>
            <w:tcW w:w="2943" w:type="dxa"/>
            <w:tcBorders>
              <w:top w:val="single" w:sz="4" w:space="0" w:color="auto"/>
              <w:left w:val="single" w:sz="4" w:space="0" w:color="auto"/>
              <w:bottom w:val="single" w:sz="4" w:space="0" w:color="auto"/>
              <w:right w:val="single" w:sz="4" w:space="0" w:color="auto"/>
            </w:tcBorders>
            <w:vAlign w:val="center"/>
            <w:hideMark/>
          </w:tcPr>
          <w:p w:rsidR="002C3C9A" w:rsidRPr="002C3C9A" w:rsidRDefault="002C3C9A" w:rsidP="002C3C9A">
            <w:pPr>
              <w:rPr>
                <w:rFonts w:eastAsia="Calibri"/>
                <w:b/>
                <w:sz w:val="18"/>
                <w:szCs w:val="18"/>
                <w:shd w:val="clear" w:color="auto" w:fill="FFFFFF"/>
                <w:lang w:eastAsia="en-US"/>
              </w:rPr>
            </w:pPr>
            <w:r w:rsidRPr="002C3C9A">
              <w:rPr>
                <w:rFonts w:eastAsia="Calibri"/>
                <w:b/>
                <w:sz w:val="18"/>
                <w:szCs w:val="18"/>
                <w:lang w:val="en-US" w:eastAsia="en-US"/>
              </w:rPr>
              <w:t>E</w:t>
            </w:r>
            <w:r w:rsidRPr="002C3C9A">
              <w:rPr>
                <w:rFonts w:eastAsia="Calibri"/>
                <w:b/>
                <w:sz w:val="18"/>
                <w:szCs w:val="18"/>
                <w:lang w:eastAsia="en-US"/>
              </w:rPr>
              <w:t>-</w:t>
            </w:r>
            <w:r w:rsidRPr="002C3C9A">
              <w:rPr>
                <w:rFonts w:eastAsia="Calibri"/>
                <w:b/>
                <w:sz w:val="18"/>
                <w:szCs w:val="18"/>
                <w:lang w:val="en-US" w:eastAsia="en-US"/>
              </w:rPr>
              <w:t>MAIL</w:t>
            </w:r>
          </w:p>
        </w:tc>
        <w:tc>
          <w:tcPr>
            <w:tcW w:w="6910" w:type="dxa"/>
            <w:tcBorders>
              <w:top w:val="single" w:sz="4" w:space="0" w:color="auto"/>
              <w:left w:val="single" w:sz="4" w:space="0" w:color="auto"/>
              <w:bottom w:val="single" w:sz="4" w:space="0" w:color="auto"/>
              <w:right w:val="single" w:sz="4" w:space="0" w:color="auto"/>
            </w:tcBorders>
            <w:vAlign w:val="bottom"/>
          </w:tcPr>
          <w:p w:rsidR="002C3C9A" w:rsidRPr="002C3C9A" w:rsidRDefault="002C3C9A" w:rsidP="002C3C9A">
            <w:pPr>
              <w:rPr>
                <w:rFonts w:eastAsia="Calibri"/>
                <w:sz w:val="20"/>
                <w:szCs w:val="22"/>
                <w:shd w:val="clear" w:color="auto" w:fill="FFFFFF"/>
                <w:lang w:eastAsia="en-US"/>
              </w:rPr>
            </w:pPr>
          </w:p>
        </w:tc>
      </w:tr>
      <w:tr w:rsidR="002C3C9A" w:rsidRPr="002C3C9A" w:rsidTr="002C3C9A">
        <w:tc>
          <w:tcPr>
            <w:tcW w:w="2943" w:type="dxa"/>
            <w:tcBorders>
              <w:top w:val="single" w:sz="4" w:space="0" w:color="auto"/>
              <w:left w:val="single" w:sz="4" w:space="0" w:color="auto"/>
              <w:bottom w:val="single" w:sz="4" w:space="0" w:color="auto"/>
              <w:right w:val="single" w:sz="4" w:space="0" w:color="auto"/>
            </w:tcBorders>
            <w:vAlign w:val="center"/>
            <w:hideMark/>
          </w:tcPr>
          <w:p w:rsidR="002C3C9A" w:rsidRPr="002C3C9A" w:rsidRDefault="002C3C9A" w:rsidP="002C3C9A">
            <w:pPr>
              <w:rPr>
                <w:rFonts w:eastAsia="Calibri"/>
                <w:b/>
                <w:sz w:val="18"/>
                <w:szCs w:val="18"/>
                <w:lang w:eastAsia="en-US"/>
              </w:rPr>
            </w:pPr>
            <w:r w:rsidRPr="002C3C9A">
              <w:rPr>
                <w:rFonts w:eastAsia="Calibri"/>
                <w:b/>
                <w:sz w:val="18"/>
                <w:szCs w:val="18"/>
                <w:lang w:eastAsia="en-US"/>
              </w:rPr>
              <w:t>Подпись согласия на обработку персональных данных</w:t>
            </w:r>
          </w:p>
        </w:tc>
        <w:tc>
          <w:tcPr>
            <w:tcW w:w="6910" w:type="dxa"/>
            <w:tcBorders>
              <w:top w:val="single" w:sz="4" w:space="0" w:color="auto"/>
              <w:left w:val="single" w:sz="4" w:space="0" w:color="auto"/>
              <w:bottom w:val="single" w:sz="4" w:space="0" w:color="auto"/>
              <w:right w:val="single" w:sz="4" w:space="0" w:color="auto"/>
            </w:tcBorders>
            <w:vAlign w:val="bottom"/>
          </w:tcPr>
          <w:p w:rsidR="002C3C9A" w:rsidRPr="002C3C9A" w:rsidRDefault="002C3C9A" w:rsidP="002C3C9A">
            <w:pPr>
              <w:rPr>
                <w:rFonts w:eastAsia="Calibri"/>
                <w:sz w:val="20"/>
                <w:szCs w:val="22"/>
                <w:shd w:val="clear" w:color="auto" w:fill="FFFFFF"/>
                <w:lang w:eastAsia="en-US"/>
              </w:rPr>
            </w:pPr>
          </w:p>
        </w:tc>
      </w:tr>
    </w:tbl>
    <w:p w:rsidR="002C3C9A" w:rsidRPr="002C3C9A" w:rsidRDefault="002C3C9A" w:rsidP="002C3C9A">
      <w:pPr>
        <w:jc w:val="both"/>
        <w:rPr>
          <w:rFonts w:eastAsia="Calibri"/>
          <w:color w:val="000000"/>
          <w:sz w:val="20"/>
          <w:szCs w:val="22"/>
          <w:shd w:val="clear" w:color="auto" w:fill="FFFFFF"/>
          <w:lang w:eastAsia="en-US"/>
        </w:rPr>
      </w:pPr>
    </w:p>
    <w:p w:rsidR="002C3C9A" w:rsidRPr="002C3C9A" w:rsidRDefault="002C3C9A" w:rsidP="002C3C9A">
      <w:pPr>
        <w:jc w:val="both"/>
        <w:rPr>
          <w:rFonts w:eastAsia="Calibri"/>
          <w:color w:val="000000"/>
          <w:sz w:val="20"/>
          <w:szCs w:val="22"/>
          <w:shd w:val="clear" w:color="auto" w:fill="FFFFFF"/>
          <w:lang w:eastAsia="en-US"/>
        </w:rPr>
      </w:pPr>
    </w:p>
    <w:tbl>
      <w:tblPr>
        <w:tblStyle w:val="a4"/>
        <w:tblW w:w="0" w:type="auto"/>
        <w:tblLook w:val="04A0" w:firstRow="1" w:lastRow="0" w:firstColumn="1" w:lastColumn="0" w:noHBand="0" w:noVBand="1"/>
      </w:tblPr>
      <w:tblGrid>
        <w:gridCol w:w="3510"/>
        <w:gridCol w:w="6343"/>
      </w:tblGrid>
      <w:tr w:rsidR="002C3C9A" w:rsidRPr="002C3C9A" w:rsidTr="002C3C9A">
        <w:tc>
          <w:tcPr>
            <w:tcW w:w="9853" w:type="dxa"/>
            <w:gridSpan w:val="2"/>
            <w:tcBorders>
              <w:top w:val="nil"/>
              <w:left w:val="nil"/>
              <w:bottom w:val="single" w:sz="4" w:space="0" w:color="auto"/>
              <w:right w:val="nil"/>
            </w:tcBorders>
          </w:tcPr>
          <w:p w:rsidR="002C3C9A" w:rsidRPr="002C3C9A" w:rsidRDefault="002C3C9A" w:rsidP="002C3C9A">
            <w:pPr>
              <w:jc w:val="center"/>
              <w:rPr>
                <w:rFonts w:eastAsia="Calibri"/>
                <w:b/>
                <w:sz w:val="20"/>
                <w:szCs w:val="20"/>
                <w:lang w:eastAsia="en-US"/>
              </w:rPr>
            </w:pPr>
            <w:r w:rsidRPr="002C3C9A">
              <w:rPr>
                <w:rFonts w:eastAsia="Calibri"/>
                <w:b/>
                <w:sz w:val="20"/>
                <w:szCs w:val="20"/>
                <w:lang w:eastAsia="en-US"/>
              </w:rPr>
              <w:t>Реквизиты Пользователя</w:t>
            </w:r>
          </w:p>
          <w:p w:rsidR="002C3C9A" w:rsidRPr="002C3C9A" w:rsidRDefault="002C3C9A" w:rsidP="002C3C9A">
            <w:pPr>
              <w:jc w:val="center"/>
              <w:rPr>
                <w:rFonts w:eastAsia="Calibri"/>
                <w:sz w:val="20"/>
                <w:szCs w:val="20"/>
                <w:shd w:val="clear" w:color="auto" w:fill="FFFFFF"/>
                <w:lang w:val="en-US" w:eastAsia="en-US"/>
              </w:rPr>
            </w:pPr>
          </w:p>
        </w:tc>
      </w:tr>
      <w:tr w:rsidR="002C3C9A" w:rsidRPr="002C3C9A" w:rsidTr="002C3C9A">
        <w:tc>
          <w:tcPr>
            <w:tcW w:w="3510" w:type="dxa"/>
            <w:tcBorders>
              <w:top w:val="single" w:sz="4" w:space="0" w:color="auto"/>
              <w:left w:val="single" w:sz="4" w:space="0" w:color="auto"/>
              <w:bottom w:val="single" w:sz="4" w:space="0" w:color="auto"/>
              <w:right w:val="single" w:sz="4" w:space="0" w:color="auto"/>
            </w:tcBorders>
            <w:vAlign w:val="center"/>
            <w:hideMark/>
          </w:tcPr>
          <w:p w:rsidR="002C3C9A" w:rsidRPr="002C3C9A" w:rsidRDefault="002C3C9A" w:rsidP="002C3C9A">
            <w:pPr>
              <w:rPr>
                <w:rFonts w:eastAsia="Calibri"/>
                <w:b/>
                <w:sz w:val="18"/>
                <w:szCs w:val="18"/>
                <w:shd w:val="clear" w:color="auto" w:fill="FFFFFF"/>
                <w:lang w:val="en-US" w:eastAsia="en-US"/>
              </w:rPr>
            </w:pPr>
            <w:r w:rsidRPr="002C3C9A">
              <w:rPr>
                <w:rFonts w:eastAsia="Calibri"/>
                <w:b/>
                <w:sz w:val="18"/>
                <w:szCs w:val="18"/>
                <w:lang w:eastAsia="en-US"/>
              </w:rPr>
              <w:t>Полное наименование</w:t>
            </w:r>
          </w:p>
        </w:tc>
        <w:tc>
          <w:tcPr>
            <w:tcW w:w="6343" w:type="dxa"/>
            <w:tcBorders>
              <w:top w:val="single" w:sz="4" w:space="0" w:color="auto"/>
              <w:left w:val="single" w:sz="4" w:space="0" w:color="auto"/>
              <w:bottom w:val="single" w:sz="4" w:space="0" w:color="auto"/>
              <w:right w:val="single" w:sz="4" w:space="0" w:color="auto"/>
            </w:tcBorders>
            <w:vAlign w:val="bottom"/>
          </w:tcPr>
          <w:p w:rsidR="002C3C9A" w:rsidRPr="002C3C9A" w:rsidRDefault="002C3C9A" w:rsidP="002C3C9A">
            <w:pPr>
              <w:rPr>
                <w:rFonts w:eastAsia="Calibri"/>
                <w:sz w:val="20"/>
                <w:szCs w:val="22"/>
                <w:shd w:val="clear" w:color="auto" w:fill="FFFFFF"/>
                <w:lang w:val="en-US" w:eastAsia="en-US"/>
              </w:rPr>
            </w:pPr>
          </w:p>
        </w:tc>
      </w:tr>
      <w:tr w:rsidR="002C3C9A" w:rsidRPr="002C3C9A" w:rsidTr="002C3C9A">
        <w:tc>
          <w:tcPr>
            <w:tcW w:w="3510" w:type="dxa"/>
            <w:tcBorders>
              <w:top w:val="single" w:sz="4" w:space="0" w:color="auto"/>
              <w:left w:val="single" w:sz="4" w:space="0" w:color="auto"/>
              <w:bottom w:val="single" w:sz="4" w:space="0" w:color="auto"/>
              <w:right w:val="single" w:sz="4" w:space="0" w:color="auto"/>
            </w:tcBorders>
            <w:vAlign w:val="center"/>
            <w:hideMark/>
          </w:tcPr>
          <w:p w:rsidR="002C3C9A" w:rsidRPr="002C3C9A" w:rsidRDefault="002C3C9A" w:rsidP="002C3C9A">
            <w:pPr>
              <w:rPr>
                <w:rFonts w:eastAsia="Calibri"/>
                <w:b/>
                <w:sz w:val="18"/>
                <w:szCs w:val="18"/>
                <w:shd w:val="clear" w:color="auto" w:fill="FFFFFF"/>
                <w:lang w:val="en-US" w:eastAsia="en-US"/>
              </w:rPr>
            </w:pPr>
            <w:r w:rsidRPr="002C3C9A">
              <w:rPr>
                <w:rFonts w:eastAsia="Calibri"/>
                <w:b/>
                <w:sz w:val="18"/>
                <w:szCs w:val="18"/>
                <w:lang w:eastAsia="en-US"/>
              </w:rPr>
              <w:t>Юридический адрес</w:t>
            </w:r>
          </w:p>
        </w:tc>
        <w:tc>
          <w:tcPr>
            <w:tcW w:w="6343" w:type="dxa"/>
            <w:tcBorders>
              <w:top w:val="single" w:sz="4" w:space="0" w:color="auto"/>
              <w:left w:val="single" w:sz="4" w:space="0" w:color="auto"/>
              <w:bottom w:val="single" w:sz="4" w:space="0" w:color="auto"/>
              <w:right w:val="single" w:sz="4" w:space="0" w:color="auto"/>
            </w:tcBorders>
            <w:vAlign w:val="bottom"/>
          </w:tcPr>
          <w:p w:rsidR="002C3C9A" w:rsidRPr="002C3C9A" w:rsidRDefault="002C3C9A" w:rsidP="002C3C9A">
            <w:pPr>
              <w:rPr>
                <w:rFonts w:eastAsia="Calibri"/>
                <w:sz w:val="20"/>
                <w:szCs w:val="22"/>
                <w:shd w:val="clear" w:color="auto" w:fill="FFFFFF"/>
                <w:lang w:val="en-US" w:eastAsia="en-US"/>
              </w:rPr>
            </w:pPr>
          </w:p>
        </w:tc>
      </w:tr>
      <w:tr w:rsidR="002C3C9A" w:rsidRPr="002C3C9A" w:rsidTr="002C3C9A">
        <w:tc>
          <w:tcPr>
            <w:tcW w:w="3510" w:type="dxa"/>
            <w:tcBorders>
              <w:top w:val="single" w:sz="4" w:space="0" w:color="auto"/>
              <w:left w:val="single" w:sz="4" w:space="0" w:color="auto"/>
              <w:bottom w:val="single" w:sz="4" w:space="0" w:color="auto"/>
              <w:right w:val="single" w:sz="4" w:space="0" w:color="auto"/>
            </w:tcBorders>
            <w:vAlign w:val="center"/>
            <w:hideMark/>
          </w:tcPr>
          <w:p w:rsidR="002C3C9A" w:rsidRPr="002C3C9A" w:rsidRDefault="002C3C9A" w:rsidP="002C3C9A">
            <w:pPr>
              <w:rPr>
                <w:rFonts w:eastAsia="Calibri"/>
                <w:b/>
                <w:sz w:val="18"/>
                <w:szCs w:val="18"/>
                <w:shd w:val="clear" w:color="auto" w:fill="FFFFFF"/>
                <w:lang w:val="en-US" w:eastAsia="en-US"/>
              </w:rPr>
            </w:pPr>
            <w:r w:rsidRPr="002C3C9A">
              <w:rPr>
                <w:rFonts w:eastAsia="Calibri"/>
                <w:b/>
                <w:sz w:val="18"/>
                <w:szCs w:val="18"/>
                <w:lang w:eastAsia="en-US"/>
              </w:rPr>
              <w:t>Фактический адрес</w:t>
            </w:r>
          </w:p>
        </w:tc>
        <w:tc>
          <w:tcPr>
            <w:tcW w:w="6343" w:type="dxa"/>
            <w:tcBorders>
              <w:top w:val="single" w:sz="4" w:space="0" w:color="auto"/>
              <w:left w:val="single" w:sz="4" w:space="0" w:color="auto"/>
              <w:bottom w:val="single" w:sz="4" w:space="0" w:color="auto"/>
              <w:right w:val="single" w:sz="4" w:space="0" w:color="auto"/>
            </w:tcBorders>
            <w:vAlign w:val="bottom"/>
          </w:tcPr>
          <w:p w:rsidR="002C3C9A" w:rsidRPr="002C3C9A" w:rsidRDefault="002C3C9A" w:rsidP="002C3C9A">
            <w:pPr>
              <w:rPr>
                <w:rFonts w:eastAsia="Calibri"/>
                <w:sz w:val="20"/>
                <w:szCs w:val="22"/>
                <w:shd w:val="clear" w:color="auto" w:fill="FFFFFF"/>
                <w:lang w:val="en-US" w:eastAsia="en-US"/>
              </w:rPr>
            </w:pPr>
          </w:p>
        </w:tc>
      </w:tr>
      <w:tr w:rsidR="002C3C9A" w:rsidRPr="002C3C9A" w:rsidTr="002C3C9A">
        <w:tc>
          <w:tcPr>
            <w:tcW w:w="3510" w:type="dxa"/>
            <w:tcBorders>
              <w:top w:val="single" w:sz="4" w:space="0" w:color="auto"/>
              <w:left w:val="single" w:sz="4" w:space="0" w:color="auto"/>
              <w:bottom w:val="single" w:sz="4" w:space="0" w:color="auto"/>
              <w:right w:val="single" w:sz="4" w:space="0" w:color="auto"/>
            </w:tcBorders>
            <w:vAlign w:val="center"/>
            <w:hideMark/>
          </w:tcPr>
          <w:p w:rsidR="002C3C9A" w:rsidRPr="002C3C9A" w:rsidRDefault="002C3C9A" w:rsidP="002C3C9A">
            <w:pPr>
              <w:rPr>
                <w:rFonts w:eastAsia="Calibri"/>
                <w:b/>
                <w:sz w:val="18"/>
                <w:szCs w:val="18"/>
                <w:shd w:val="clear" w:color="auto" w:fill="FFFFFF"/>
                <w:lang w:val="en-US" w:eastAsia="en-US"/>
              </w:rPr>
            </w:pPr>
            <w:r w:rsidRPr="002C3C9A">
              <w:rPr>
                <w:rFonts w:eastAsia="Calibri"/>
                <w:b/>
                <w:sz w:val="18"/>
                <w:szCs w:val="18"/>
                <w:lang w:eastAsia="en-US"/>
              </w:rPr>
              <w:t>ИНН</w:t>
            </w:r>
          </w:p>
        </w:tc>
        <w:tc>
          <w:tcPr>
            <w:tcW w:w="6343" w:type="dxa"/>
            <w:tcBorders>
              <w:top w:val="single" w:sz="4" w:space="0" w:color="auto"/>
              <w:left w:val="single" w:sz="4" w:space="0" w:color="auto"/>
              <w:bottom w:val="single" w:sz="4" w:space="0" w:color="auto"/>
              <w:right w:val="single" w:sz="4" w:space="0" w:color="auto"/>
            </w:tcBorders>
            <w:vAlign w:val="bottom"/>
          </w:tcPr>
          <w:p w:rsidR="002C3C9A" w:rsidRPr="002C3C9A" w:rsidRDefault="002C3C9A" w:rsidP="002C3C9A">
            <w:pPr>
              <w:rPr>
                <w:rFonts w:eastAsia="Calibri"/>
                <w:sz w:val="20"/>
                <w:szCs w:val="22"/>
                <w:shd w:val="clear" w:color="auto" w:fill="FFFFFF"/>
                <w:lang w:val="en-US" w:eastAsia="en-US"/>
              </w:rPr>
            </w:pPr>
          </w:p>
        </w:tc>
      </w:tr>
      <w:tr w:rsidR="002C3C9A" w:rsidRPr="002C3C9A" w:rsidTr="002C3C9A">
        <w:tc>
          <w:tcPr>
            <w:tcW w:w="3510" w:type="dxa"/>
            <w:tcBorders>
              <w:top w:val="single" w:sz="4" w:space="0" w:color="auto"/>
              <w:left w:val="single" w:sz="4" w:space="0" w:color="auto"/>
              <w:bottom w:val="single" w:sz="4" w:space="0" w:color="auto"/>
              <w:right w:val="single" w:sz="4" w:space="0" w:color="auto"/>
            </w:tcBorders>
            <w:vAlign w:val="center"/>
            <w:hideMark/>
          </w:tcPr>
          <w:p w:rsidR="002C3C9A" w:rsidRPr="002C3C9A" w:rsidRDefault="002C3C9A" w:rsidP="002C3C9A">
            <w:pPr>
              <w:rPr>
                <w:rFonts w:eastAsia="Calibri"/>
                <w:b/>
                <w:sz w:val="18"/>
                <w:szCs w:val="18"/>
                <w:shd w:val="clear" w:color="auto" w:fill="FFFFFF"/>
                <w:lang w:val="en-US" w:eastAsia="en-US"/>
              </w:rPr>
            </w:pPr>
            <w:r w:rsidRPr="002C3C9A">
              <w:rPr>
                <w:rFonts w:eastAsia="Calibri"/>
                <w:b/>
                <w:sz w:val="18"/>
                <w:szCs w:val="18"/>
                <w:lang w:eastAsia="en-US"/>
              </w:rPr>
              <w:t>КПП</w:t>
            </w:r>
          </w:p>
        </w:tc>
        <w:tc>
          <w:tcPr>
            <w:tcW w:w="6343" w:type="dxa"/>
            <w:tcBorders>
              <w:top w:val="single" w:sz="4" w:space="0" w:color="auto"/>
              <w:left w:val="single" w:sz="4" w:space="0" w:color="auto"/>
              <w:bottom w:val="single" w:sz="4" w:space="0" w:color="auto"/>
              <w:right w:val="single" w:sz="4" w:space="0" w:color="auto"/>
            </w:tcBorders>
            <w:vAlign w:val="bottom"/>
          </w:tcPr>
          <w:p w:rsidR="002C3C9A" w:rsidRPr="002C3C9A" w:rsidRDefault="002C3C9A" w:rsidP="002C3C9A">
            <w:pPr>
              <w:rPr>
                <w:rFonts w:eastAsia="Calibri"/>
                <w:sz w:val="20"/>
                <w:szCs w:val="22"/>
                <w:shd w:val="clear" w:color="auto" w:fill="FFFFFF"/>
                <w:lang w:val="en-US" w:eastAsia="en-US"/>
              </w:rPr>
            </w:pPr>
          </w:p>
        </w:tc>
      </w:tr>
      <w:tr w:rsidR="002C3C9A" w:rsidRPr="002C3C9A" w:rsidTr="002C3C9A">
        <w:tc>
          <w:tcPr>
            <w:tcW w:w="3510" w:type="dxa"/>
            <w:tcBorders>
              <w:top w:val="single" w:sz="4" w:space="0" w:color="auto"/>
              <w:left w:val="single" w:sz="4" w:space="0" w:color="auto"/>
              <w:bottom w:val="single" w:sz="4" w:space="0" w:color="auto"/>
              <w:right w:val="single" w:sz="4" w:space="0" w:color="auto"/>
            </w:tcBorders>
            <w:vAlign w:val="center"/>
            <w:hideMark/>
          </w:tcPr>
          <w:p w:rsidR="002C3C9A" w:rsidRPr="002C3C9A" w:rsidRDefault="002C3C9A" w:rsidP="002C3C9A">
            <w:pPr>
              <w:rPr>
                <w:rFonts w:eastAsia="Calibri"/>
                <w:b/>
                <w:sz w:val="18"/>
                <w:szCs w:val="18"/>
                <w:shd w:val="clear" w:color="auto" w:fill="FFFFFF"/>
                <w:lang w:val="en-US" w:eastAsia="en-US"/>
              </w:rPr>
            </w:pPr>
            <w:r w:rsidRPr="002C3C9A">
              <w:rPr>
                <w:rFonts w:eastAsia="Calibri"/>
                <w:b/>
                <w:sz w:val="18"/>
                <w:szCs w:val="18"/>
                <w:lang w:eastAsia="en-US"/>
              </w:rPr>
              <w:t>ОГРН (ОГРН ИП)</w:t>
            </w:r>
          </w:p>
        </w:tc>
        <w:tc>
          <w:tcPr>
            <w:tcW w:w="6343" w:type="dxa"/>
            <w:tcBorders>
              <w:top w:val="single" w:sz="4" w:space="0" w:color="auto"/>
              <w:left w:val="single" w:sz="4" w:space="0" w:color="auto"/>
              <w:bottom w:val="single" w:sz="4" w:space="0" w:color="auto"/>
              <w:right w:val="single" w:sz="4" w:space="0" w:color="auto"/>
            </w:tcBorders>
            <w:vAlign w:val="bottom"/>
          </w:tcPr>
          <w:p w:rsidR="002C3C9A" w:rsidRPr="002C3C9A" w:rsidRDefault="002C3C9A" w:rsidP="002C3C9A">
            <w:pPr>
              <w:rPr>
                <w:rFonts w:eastAsia="Calibri"/>
                <w:sz w:val="20"/>
                <w:szCs w:val="22"/>
                <w:shd w:val="clear" w:color="auto" w:fill="FFFFFF"/>
                <w:lang w:val="en-US" w:eastAsia="en-US"/>
              </w:rPr>
            </w:pPr>
          </w:p>
        </w:tc>
      </w:tr>
      <w:tr w:rsidR="002C3C9A" w:rsidRPr="002C3C9A" w:rsidTr="002C3C9A">
        <w:tc>
          <w:tcPr>
            <w:tcW w:w="3510" w:type="dxa"/>
            <w:tcBorders>
              <w:top w:val="single" w:sz="4" w:space="0" w:color="auto"/>
              <w:left w:val="single" w:sz="4" w:space="0" w:color="auto"/>
              <w:bottom w:val="single" w:sz="4" w:space="0" w:color="auto"/>
              <w:right w:val="single" w:sz="4" w:space="0" w:color="auto"/>
            </w:tcBorders>
            <w:vAlign w:val="center"/>
            <w:hideMark/>
          </w:tcPr>
          <w:p w:rsidR="002C3C9A" w:rsidRPr="002C3C9A" w:rsidRDefault="002C3C9A" w:rsidP="002C3C9A">
            <w:pPr>
              <w:rPr>
                <w:rFonts w:eastAsia="Calibri"/>
                <w:b/>
                <w:sz w:val="18"/>
                <w:szCs w:val="18"/>
                <w:shd w:val="clear" w:color="auto" w:fill="FFFFFF"/>
                <w:lang w:eastAsia="en-US"/>
              </w:rPr>
            </w:pPr>
            <w:r w:rsidRPr="002C3C9A">
              <w:rPr>
                <w:rFonts w:eastAsia="Calibri"/>
                <w:b/>
                <w:sz w:val="18"/>
                <w:szCs w:val="18"/>
                <w:lang w:eastAsia="en-US"/>
              </w:rPr>
              <w:t>Контактный телефон</w:t>
            </w:r>
          </w:p>
        </w:tc>
        <w:tc>
          <w:tcPr>
            <w:tcW w:w="6343" w:type="dxa"/>
            <w:tcBorders>
              <w:top w:val="single" w:sz="4" w:space="0" w:color="auto"/>
              <w:left w:val="single" w:sz="4" w:space="0" w:color="auto"/>
              <w:bottom w:val="single" w:sz="4" w:space="0" w:color="auto"/>
              <w:right w:val="single" w:sz="4" w:space="0" w:color="auto"/>
            </w:tcBorders>
            <w:vAlign w:val="bottom"/>
          </w:tcPr>
          <w:p w:rsidR="002C3C9A" w:rsidRPr="002C3C9A" w:rsidRDefault="002C3C9A" w:rsidP="002C3C9A">
            <w:pPr>
              <w:rPr>
                <w:rFonts w:eastAsia="Calibri"/>
                <w:sz w:val="20"/>
                <w:szCs w:val="22"/>
                <w:shd w:val="clear" w:color="auto" w:fill="FFFFFF"/>
                <w:lang w:eastAsia="en-US"/>
              </w:rPr>
            </w:pPr>
          </w:p>
        </w:tc>
      </w:tr>
      <w:tr w:rsidR="002C3C9A" w:rsidRPr="002C3C9A" w:rsidTr="002C3C9A">
        <w:tc>
          <w:tcPr>
            <w:tcW w:w="3510" w:type="dxa"/>
            <w:tcBorders>
              <w:top w:val="single" w:sz="4" w:space="0" w:color="auto"/>
              <w:left w:val="single" w:sz="4" w:space="0" w:color="auto"/>
              <w:bottom w:val="single" w:sz="4" w:space="0" w:color="auto"/>
              <w:right w:val="single" w:sz="4" w:space="0" w:color="auto"/>
            </w:tcBorders>
            <w:vAlign w:val="center"/>
            <w:hideMark/>
          </w:tcPr>
          <w:p w:rsidR="002C3C9A" w:rsidRPr="002C3C9A" w:rsidRDefault="002C3C9A" w:rsidP="002C3C9A">
            <w:pPr>
              <w:rPr>
                <w:rFonts w:eastAsia="Calibri"/>
                <w:b/>
                <w:sz w:val="18"/>
                <w:szCs w:val="18"/>
                <w:lang w:eastAsia="en-US"/>
              </w:rPr>
            </w:pPr>
            <w:r w:rsidRPr="002C3C9A">
              <w:rPr>
                <w:rFonts w:eastAsia="Calibri"/>
                <w:b/>
                <w:sz w:val="16"/>
                <w:szCs w:val="22"/>
                <w:lang w:val="en-US" w:eastAsia="en-US"/>
              </w:rPr>
              <w:t>E-MAIL</w:t>
            </w:r>
          </w:p>
        </w:tc>
        <w:tc>
          <w:tcPr>
            <w:tcW w:w="6343" w:type="dxa"/>
            <w:tcBorders>
              <w:top w:val="single" w:sz="4" w:space="0" w:color="auto"/>
              <w:left w:val="single" w:sz="4" w:space="0" w:color="auto"/>
              <w:bottom w:val="single" w:sz="4" w:space="0" w:color="auto"/>
              <w:right w:val="single" w:sz="4" w:space="0" w:color="auto"/>
            </w:tcBorders>
            <w:vAlign w:val="bottom"/>
          </w:tcPr>
          <w:p w:rsidR="002C3C9A" w:rsidRPr="002C3C9A" w:rsidRDefault="002C3C9A" w:rsidP="002C3C9A">
            <w:pPr>
              <w:rPr>
                <w:rFonts w:eastAsia="Calibri"/>
                <w:sz w:val="20"/>
                <w:szCs w:val="22"/>
                <w:shd w:val="clear" w:color="auto" w:fill="FFFFFF"/>
                <w:lang w:eastAsia="en-US"/>
              </w:rPr>
            </w:pPr>
          </w:p>
        </w:tc>
      </w:tr>
      <w:tr w:rsidR="002C3C9A" w:rsidRPr="002C3C9A" w:rsidTr="002C3C9A">
        <w:tc>
          <w:tcPr>
            <w:tcW w:w="3510" w:type="dxa"/>
            <w:tcBorders>
              <w:top w:val="single" w:sz="4" w:space="0" w:color="auto"/>
              <w:left w:val="single" w:sz="4" w:space="0" w:color="auto"/>
              <w:bottom w:val="single" w:sz="4" w:space="0" w:color="auto"/>
              <w:right w:val="single" w:sz="4" w:space="0" w:color="auto"/>
            </w:tcBorders>
            <w:vAlign w:val="center"/>
            <w:hideMark/>
          </w:tcPr>
          <w:p w:rsidR="002C3C9A" w:rsidRPr="002C3C9A" w:rsidRDefault="002C3C9A" w:rsidP="002C3C9A">
            <w:pPr>
              <w:rPr>
                <w:rFonts w:eastAsia="Calibri"/>
                <w:b/>
                <w:sz w:val="18"/>
                <w:szCs w:val="18"/>
                <w:lang w:eastAsia="en-US"/>
              </w:rPr>
            </w:pPr>
            <w:r w:rsidRPr="002C3C9A">
              <w:rPr>
                <w:rFonts w:eastAsia="Calibri"/>
                <w:b/>
                <w:sz w:val="16"/>
                <w:szCs w:val="22"/>
                <w:lang w:eastAsia="en-US"/>
              </w:rPr>
              <w:t>Наименование банка</w:t>
            </w:r>
          </w:p>
        </w:tc>
        <w:tc>
          <w:tcPr>
            <w:tcW w:w="6343" w:type="dxa"/>
            <w:tcBorders>
              <w:top w:val="single" w:sz="4" w:space="0" w:color="auto"/>
              <w:left w:val="single" w:sz="4" w:space="0" w:color="auto"/>
              <w:bottom w:val="single" w:sz="4" w:space="0" w:color="auto"/>
              <w:right w:val="single" w:sz="4" w:space="0" w:color="auto"/>
            </w:tcBorders>
            <w:vAlign w:val="bottom"/>
          </w:tcPr>
          <w:p w:rsidR="002C3C9A" w:rsidRPr="002C3C9A" w:rsidRDefault="002C3C9A" w:rsidP="002C3C9A">
            <w:pPr>
              <w:rPr>
                <w:rFonts w:eastAsia="Calibri"/>
                <w:sz w:val="20"/>
                <w:szCs w:val="22"/>
                <w:shd w:val="clear" w:color="auto" w:fill="FFFFFF"/>
                <w:lang w:eastAsia="en-US"/>
              </w:rPr>
            </w:pPr>
          </w:p>
        </w:tc>
      </w:tr>
      <w:tr w:rsidR="002C3C9A" w:rsidRPr="002C3C9A" w:rsidTr="002C3C9A">
        <w:tc>
          <w:tcPr>
            <w:tcW w:w="3510" w:type="dxa"/>
            <w:tcBorders>
              <w:top w:val="single" w:sz="4" w:space="0" w:color="auto"/>
              <w:left w:val="single" w:sz="4" w:space="0" w:color="auto"/>
              <w:bottom w:val="single" w:sz="4" w:space="0" w:color="auto"/>
              <w:right w:val="single" w:sz="4" w:space="0" w:color="auto"/>
            </w:tcBorders>
            <w:vAlign w:val="center"/>
            <w:hideMark/>
          </w:tcPr>
          <w:p w:rsidR="002C3C9A" w:rsidRPr="002C3C9A" w:rsidRDefault="002C3C9A" w:rsidP="002C3C9A">
            <w:pPr>
              <w:rPr>
                <w:rFonts w:eastAsia="Calibri"/>
                <w:b/>
                <w:sz w:val="18"/>
                <w:szCs w:val="18"/>
                <w:lang w:eastAsia="en-US"/>
              </w:rPr>
            </w:pPr>
            <w:r w:rsidRPr="002C3C9A">
              <w:rPr>
                <w:rFonts w:eastAsia="Calibri"/>
                <w:b/>
                <w:sz w:val="16"/>
                <w:szCs w:val="22"/>
                <w:lang w:eastAsia="en-US"/>
              </w:rPr>
              <w:t>Расчетный счет</w:t>
            </w:r>
          </w:p>
        </w:tc>
        <w:tc>
          <w:tcPr>
            <w:tcW w:w="6343" w:type="dxa"/>
            <w:tcBorders>
              <w:top w:val="single" w:sz="4" w:space="0" w:color="auto"/>
              <w:left w:val="single" w:sz="4" w:space="0" w:color="auto"/>
              <w:bottom w:val="single" w:sz="4" w:space="0" w:color="auto"/>
              <w:right w:val="single" w:sz="4" w:space="0" w:color="auto"/>
            </w:tcBorders>
            <w:vAlign w:val="bottom"/>
          </w:tcPr>
          <w:p w:rsidR="002C3C9A" w:rsidRPr="002C3C9A" w:rsidRDefault="002C3C9A" w:rsidP="002C3C9A">
            <w:pPr>
              <w:rPr>
                <w:rFonts w:eastAsia="Calibri"/>
                <w:sz w:val="20"/>
                <w:szCs w:val="22"/>
                <w:shd w:val="clear" w:color="auto" w:fill="FFFFFF"/>
                <w:lang w:eastAsia="en-US"/>
              </w:rPr>
            </w:pPr>
          </w:p>
        </w:tc>
      </w:tr>
      <w:tr w:rsidR="002C3C9A" w:rsidRPr="002C3C9A" w:rsidTr="002C3C9A">
        <w:tc>
          <w:tcPr>
            <w:tcW w:w="3510" w:type="dxa"/>
            <w:tcBorders>
              <w:top w:val="single" w:sz="4" w:space="0" w:color="auto"/>
              <w:left w:val="single" w:sz="4" w:space="0" w:color="auto"/>
              <w:bottom w:val="single" w:sz="4" w:space="0" w:color="auto"/>
              <w:right w:val="single" w:sz="4" w:space="0" w:color="auto"/>
            </w:tcBorders>
            <w:vAlign w:val="center"/>
            <w:hideMark/>
          </w:tcPr>
          <w:p w:rsidR="002C3C9A" w:rsidRPr="002C3C9A" w:rsidRDefault="002C3C9A" w:rsidP="002C3C9A">
            <w:pPr>
              <w:rPr>
                <w:rFonts w:eastAsia="Calibri"/>
                <w:b/>
                <w:sz w:val="18"/>
                <w:szCs w:val="18"/>
                <w:lang w:eastAsia="en-US"/>
              </w:rPr>
            </w:pPr>
            <w:r w:rsidRPr="002C3C9A">
              <w:rPr>
                <w:rFonts w:eastAsia="Calibri"/>
                <w:b/>
                <w:sz w:val="16"/>
                <w:szCs w:val="22"/>
                <w:lang w:eastAsia="en-US"/>
              </w:rPr>
              <w:t>Кор. Счет</w:t>
            </w:r>
          </w:p>
        </w:tc>
        <w:tc>
          <w:tcPr>
            <w:tcW w:w="6343" w:type="dxa"/>
            <w:tcBorders>
              <w:top w:val="single" w:sz="4" w:space="0" w:color="auto"/>
              <w:left w:val="single" w:sz="4" w:space="0" w:color="auto"/>
              <w:bottom w:val="single" w:sz="4" w:space="0" w:color="auto"/>
              <w:right w:val="single" w:sz="4" w:space="0" w:color="auto"/>
            </w:tcBorders>
            <w:vAlign w:val="bottom"/>
          </w:tcPr>
          <w:p w:rsidR="002C3C9A" w:rsidRPr="002C3C9A" w:rsidRDefault="002C3C9A" w:rsidP="002C3C9A">
            <w:pPr>
              <w:rPr>
                <w:rFonts w:eastAsia="Calibri"/>
                <w:sz w:val="20"/>
                <w:szCs w:val="22"/>
                <w:shd w:val="clear" w:color="auto" w:fill="FFFFFF"/>
                <w:lang w:eastAsia="en-US"/>
              </w:rPr>
            </w:pPr>
          </w:p>
        </w:tc>
      </w:tr>
      <w:tr w:rsidR="002C3C9A" w:rsidRPr="002C3C9A" w:rsidTr="002C3C9A">
        <w:tc>
          <w:tcPr>
            <w:tcW w:w="3510" w:type="dxa"/>
            <w:tcBorders>
              <w:top w:val="single" w:sz="4" w:space="0" w:color="auto"/>
              <w:left w:val="single" w:sz="4" w:space="0" w:color="auto"/>
              <w:bottom w:val="single" w:sz="4" w:space="0" w:color="auto"/>
              <w:right w:val="single" w:sz="4" w:space="0" w:color="auto"/>
            </w:tcBorders>
            <w:vAlign w:val="center"/>
            <w:hideMark/>
          </w:tcPr>
          <w:p w:rsidR="002C3C9A" w:rsidRPr="002C3C9A" w:rsidRDefault="002C3C9A" w:rsidP="002C3C9A">
            <w:pPr>
              <w:rPr>
                <w:rFonts w:eastAsia="Calibri"/>
                <w:b/>
                <w:sz w:val="16"/>
                <w:szCs w:val="22"/>
                <w:lang w:eastAsia="en-US"/>
              </w:rPr>
            </w:pPr>
            <w:r w:rsidRPr="002C3C9A">
              <w:rPr>
                <w:rFonts w:eastAsia="Calibri"/>
                <w:b/>
                <w:sz w:val="16"/>
                <w:szCs w:val="22"/>
                <w:lang w:eastAsia="en-US"/>
              </w:rPr>
              <w:t>БИК</w:t>
            </w:r>
          </w:p>
        </w:tc>
        <w:tc>
          <w:tcPr>
            <w:tcW w:w="6343" w:type="dxa"/>
            <w:tcBorders>
              <w:top w:val="single" w:sz="4" w:space="0" w:color="auto"/>
              <w:left w:val="single" w:sz="4" w:space="0" w:color="auto"/>
              <w:bottom w:val="single" w:sz="4" w:space="0" w:color="auto"/>
              <w:right w:val="single" w:sz="4" w:space="0" w:color="auto"/>
            </w:tcBorders>
            <w:vAlign w:val="bottom"/>
          </w:tcPr>
          <w:p w:rsidR="002C3C9A" w:rsidRPr="002C3C9A" w:rsidRDefault="002C3C9A" w:rsidP="002C3C9A">
            <w:pPr>
              <w:rPr>
                <w:rFonts w:eastAsia="Calibri"/>
                <w:sz w:val="20"/>
                <w:szCs w:val="22"/>
                <w:shd w:val="clear" w:color="auto" w:fill="FFFFFF"/>
                <w:lang w:eastAsia="en-US"/>
              </w:rPr>
            </w:pPr>
          </w:p>
        </w:tc>
      </w:tr>
    </w:tbl>
    <w:p w:rsidR="002C3C9A" w:rsidRPr="002C3C9A" w:rsidRDefault="002C3C9A" w:rsidP="002C3C9A">
      <w:pPr>
        <w:jc w:val="both"/>
        <w:rPr>
          <w:rFonts w:eastAsia="Calibri"/>
          <w:color w:val="000000"/>
          <w:sz w:val="20"/>
          <w:szCs w:val="22"/>
          <w:shd w:val="clear" w:color="auto" w:fill="FFFFFF"/>
          <w:lang w:eastAsia="en-US"/>
        </w:rPr>
      </w:pPr>
    </w:p>
    <w:p w:rsidR="002C3C9A" w:rsidRPr="002C3C9A" w:rsidRDefault="002C3C9A" w:rsidP="002C3C9A">
      <w:pPr>
        <w:spacing w:before="240"/>
        <w:jc w:val="both"/>
        <w:rPr>
          <w:rFonts w:eastAsia="Calibri"/>
          <w:color w:val="000000"/>
          <w:sz w:val="14"/>
          <w:szCs w:val="14"/>
          <w:shd w:val="clear" w:color="auto" w:fill="FFFFFF"/>
          <w:lang w:eastAsia="en-US"/>
        </w:rPr>
      </w:pPr>
    </w:p>
    <w:p w:rsidR="002C3C9A" w:rsidRPr="002C3C9A" w:rsidRDefault="002C3C9A" w:rsidP="002C3C9A">
      <w:pPr>
        <w:suppressAutoHyphens/>
        <w:rPr>
          <w:rFonts w:eastAsia="Calibri"/>
          <w:color w:val="000000"/>
          <w:sz w:val="14"/>
          <w:szCs w:val="14"/>
          <w:shd w:val="clear" w:color="auto" w:fill="FFFFFF"/>
          <w:lang w:eastAsia="ar-SA"/>
        </w:rPr>
      </w:pPr>
    </w:p>
    <w:p w:rsidR="002C3C9A" w:rsidRPr="002C3C9A" w:rsidRDefault="002C3C9A" w:rsidP="002C3C9A">
      <w:pPr>
        <w:suppressAutoHyphens/>
        <w:rPr>
          <w:rFonts w:eastAsia="Calibri"/>
          <w:color w:val="000000"/>
          <w:sz w:val="18"/>
          <w:szCs w:val="16"/>
          <w:shd w:val="clear" w:color="auto" w:fill="FFFFFF"/>
          <w:lang w:eastAsia="ar-SA"/>
        </w:rPr>
      </w:pPr>
    </w:p>
    <w:p w:rsidR="002C3C9A" w:rsidRPr="002C3C9A" w:rsidRDefault="002C3C9A" w:rsidP="002C3C9A">
      <w:pPr>
        <w:suppressAutoHyphens/>
        <w:rPr>
          <w:rFonts w:eastAsia="Calibri"/>
          <w:color w:val="000000"/>
          <w:sz w:val="20"/>
          <w:szCs w:val="20"/>
          <w:shd w:val="clear" w:color="auto" w:fill="FFFFFF"/>
          <w:lang w:eastAsia="ar-SA"/>
        </w:rPr>
      </w:pPr>
      <w:r w:rsidRPr="002C3C9A">
        <w:rPr>
          <w:rFonts w:eastAsia="Calibri"/>
          <w:color w:val="000000"/>
          <w:sz w:val="20"/>
          <w:szCs w:val="20"/>
          <w:shd w:val="clear" w:color="auto" w:fill="FFFFFF"/>
          <w:lang w:eastAsia="ar-SA"/>
        </w:rPr>
        <w:t xml:space="preserve">Руководитель организации (иной уполномоченный  представитель)  </w:t>
      </w:r>
    </w:p>
    <w:p w:rsidR="002C3C9A" w:rsidRDefault="002C3C9A" w:rsidP="002C3C9A">
      <w:pPr>
        <w:suppressAutoHyphens/>
        <w:rPr>
          <w:rFonts w:eastAsia="Calibri"/>
          <w:color w:val="000000"/>
          <w:sz w:val="20"/>
          <w:szCs w:val="20"/>
          <w:shd w:val="clear" w:color="auto" w:fill="FFFFFF"/>
          <w:lang w:eastAsia="ar-SA"/>
        </w:rPr>
      </w:pPr>
    </w:p>
    <w:p w:rsidR="001B0E01" w:rsidRPr="002C3C9A" w:rsidRDefault="001B0E01" w:rsidP="002C3C9A">
      <w:pPr>
        <w:suppressAutoHyphens/>
        <w:rPr>
          <w:rFonts w:eastAsia="Calibri"/>
          <w:color w:val="000000"/>
          <w:sz w:val="20"/>
          <w:szCs w:val="20"/>
          <w:shd w:val="clear" w:color="auto" w:fill="FFFFFF"/>
          <w:lang w:eastAsia="ar-SA"/>
        </w:rPr>
      </w:pPr>
    </w:p>
    <w:p w:rsidR="002C3C9A" w:rsidRPr="002C3C9A" w:rsidRDefault="002C3C9A" w:rsidP="002C3C9A">
      <w:pPr>
        <w:suppressAutoHyphens/>
        <w:rPr>
          <w:rFonts w:eastAsia="Calibri"/>
          <w:color w:val="000000"/>
          <w:sz w:val="20"/>
          <w:szCs w:val="20"/>
          <w:shd w:val="clear" w:color="auto" w:fill="FFFFFF"/>
          <w:lang w:eastAsia="ar-SA"/>
        </w:rPr>
      </w:pPr>
      <w:r w:rsidRPr="002C3C9A">
        <w:rPr>
          <w:rFonts w:eastAsia="Calibri"/>
          <w:color w:val="000000"/>
          <w:sz w:val="20"/>
          <w:szCs w:val="20"/>
          <w:shd w:val="clear" w:color="auto" w:fill="FFFFFF"/>
          <w:lang w:eastAsia="ar-SA"/>
        </w:rPr>
        <w:t>__________________________________________(Ф.И.О., подпись)</w:t>
      </w:r>
    </w:p>
    <w:p w:rsidR="002C3C9A" w:rsidRDefault="002C3C9A" w:rsidP="002C3C9A">
      <w:pPr>
        <w:suppressAutoHyphens/>
        <w:rPr>
          <w:rFonts w:eastAsia="Calibri"/>
          <w:color w:val="000000"/>
          <w:sz w:val="20"/>
          <w:szCs w:val="20"/>
          <w:shd w:val="clear" w:color="auto" w:fill="FFFFFF"/>
          <w:lang w:eastAsia="ar-SA"/>
        </w:rPr>
      </w:pPr>
    </w:p>
    <w:p w:rsidR="001B0E01" w:rsidRDefault="001B0E01" w:rsidP="002C3C9A">
      <w:pPr>
        <w:suppressAutoHyphens/>
        <w:rPr>
          <w:rFonts w:eastAsia="Calibri"/>
          <w:color w:val="000000"/>
          <w:sz w:val="20"/>
          <w:szCs w:val="20"/>
          <w:shd w:val="clear" w:color="auto" w:fill="FFFFFF"/>
          <w:lang w:eastAsia="ar-SA"/>
        </w:rPr>
      </w:pPr>
    </w:p>
    <w:p w:rsidR="001B0E01" w:rsidRPr="002C3C9A" w:rsidRDefault="001B0E01" w:rsidP="002C3C9A">
      <w:pPr>
        <w:suppressAutoHyphens/>
        <w:rPr>
          <w:rFonts w:eastAsia="Calibri"/>
          <w:color w:val="000000"/>
          <w:sz w:val="20"/>
          <w:szCs w:val="20"/>
          <w:shd w:val="clear" w:color="auto" w:fill="FFFFFF"/>
          <w:lang w:eastAsia="ar-SA"/>
        </w:rPr>
      </w:pPr>
    </w:p>
    <w:p w:rsidR="002C3C9A" w:rsidRPr="002C3C9A" w:rsidRDefault="002C3C9A" w:rsidP="002C3C9A">
      <w:pPr>
        <w:suppressAutoHyphens/>
        <w:rPr>
          <w:rFonts w:eastAsia="Calibri"/>
          <w:color w:val="000000"/>
          <w:sz w:val="20"/>
          <w:szCs w:val="20"/>
          <w:shd w:val="clear" w:color="auto" w:fill="FFFFFF"/>
          <w:lang w:eastAsia="ar-SA"/>
        </w:rPr>
      </w:pPr>
      <w:r w:rsidRPr="002C3C9A">
        <w:rPr>
          <w:rFonts w:eastAsia="Calibri"/>
          <w:color w:val="000000"/>
          <w:sz w:val="20"/>
          <w:szCs w:val="20"/>
          <w:shd w:val="clear" w:color="auto" w:fill="FFFFFF"/>
          <w:lang w:eastAsia="ar-SA"/>
        </w:rPr>
        <w:t>«___» ______________ 202</w:t>
      </w:r>
      <w:r w:rsidR="00540CBF">
        <w:rPr>
          <w:rFonts w:eastAsia="Calibri"/>
          <w:color w:val="000000"/>
          <w:sz w:val="20"/>
          <w:szCs w:val="20"/>
          <w:shd w:val="clear" w:color="auto" w:fill="FFFFFF"/>
          <w:lang w:eastAsia="ar-SA"/>
        </w:rPr>
        <w:t>5</w:t>
      </w:r>
      <w:r w:rsidRPr="002C3C9A">
        <w:rPr>
          <w:rFonts w:eastAsia="Calibri"/>
          <w:color w:val="000000"/>
          <w:sz w:val="20"/>
          <w:szCs w:val="20"/>
          <w:shd w:val="clear" w:color="auto" w:fill="FFFFFF"/>
          <w:lang w:eastAsia="ar-SA"/>
        </w:rPr>
        <w:t xml:space="preserve"> г.</w:t>
      </w:r>
      <w:r w:rsidRPr="002C3C9A">
        <w:rPr>
          <w:rFonts w:eastAsia="Calibri"/>
          <w:color w:val="000000"/>
          <w:sz w:val="20"/>
          <w:szCs w:val="20"/>
          <w:shd w:val="clear" w:color="auto" w:fill="FFFFFF"/>
          <w:lang w:eastAsia="ar-SA"/>
        </w:rPr>
        <w:tab/>
      </w:r>
      <w:r w:rsidRPr="002C3C9A">
        <w:rPr>
          <w:rFonts w:eastAsia="Calibri"/>
          <w:color w:val="000000"/>
          <w:sz w:val="20"/>
          <w:szCs w:val="20"/>
          <w:shd w:val="clear" w:color="auto" w:fill="FFFFFF"/>
          <w:lang w:eastAsia="ar-SA"/>
        </w:rPr>
        <w:tab/>
      </w:r>
      <w:r w:rsidRPr="002C3C9A">
        <w:rPr>
          <w:rFonts w:eastAsia="Calibri"/>
          <w:color w:val="000000"/>
          <w:sz w:val="20"/>
          <w:szCs w:val="20"/>
          <w:shd w:val="clear" w:color="auto" w:fill="FFFFFF"/>
          <w:lang w:eastAsia="ar-SA"/>
        </w:rPr>
        <w:tab/>
      </w:r>
    </w:p>
    <w:p w:rsidR="002C3C9A" w:rsidRPr="002C3C9A" w:rsidRDefault="002C3C9A" w:rsidP="002C3C9A">
      <w:pPr>
        <w:suppressAutoHyphens/>
        <w:rPr>
          <w:rFonts w:eastAsia="Calibri"/>
          <w:color w:val="000000"/>
          <w:sz w:val="20"/>
          <w:szCs w:val="20"/>
          <w:shd w:val="clear" w:color="auto" w:fill="FFFFFF"/>
          <w:lang w:eastAsia="ar-SA"/>
        </w:rPr>
      </w:pPr>
    </w:p>
    <w:p w:rsidR="002C3C9A" w:rsidRPr="002C3C9A" w:rsidRDefault="002C3C9A" w:rsidP="002C3C9A">
      <w:pPr>
        <w:suppressAutoHyphens/>
        <w:rPr>
          <w:rFonts w:eastAsia="Calibri"/>
          <w:color w:val="000000"/>
          <w:sz w:val="20"/>
          <w:szCs w:val="20"/>
          <w:shd w:val="clear" w:color="auto" w:fill="FFFFFF"/>
          <w:lang w:eastAsia="ar-SA"/>
        </w:rPr>
      </w:pPr>
      <w:r w:rsidRPr="002C3C9A">
        <w:rPr>
          <w:rFonts w:eastAsia="Calibri"/>
          <w:color w:val="000000"/>
          <w:sz w:val="20"/>
          <w:szCs w:val="20"/>
          <w:shd w:val="clear" w:color="auto" w:fill="FFFFFF"/>
          <w:lang w:eastAsia="ar-SA"/>
        </w:rPr>
        <w:t>М.П.</w:t>
      </w:r>
    </w:p>
    <w:p w:rsidR="002C3C9A" w:rsidRPr="002C3C9A" w:rsidRDefault="002C3C9A" w:rsidP="002C3C9A">
      <w:pPr>
        <w:spacing w:after="200" w:line="276" w:lineRule="auto"/>
        <w:rPr>
          <w:rFonts w:ascii="Calibri" w:eastAsia="Calibri" w:hAnsi="Calibri"/>
          <w:sz w:val="22"/>
          <w:szCs w:val="22"/>
          <w:lang w:eastAsia="en-US"/>
        </w:rPr>
      </w:pPr>
    </w:p>
    <w:p w:rsidR="002C3C9A" w:rsidRDefault="002C3C9A">
      <w:pPr>
        <w:spacing w:after="200" w:line="276" w:lineRule="auto"/>
        <w:rPr>
          <w:sz w:val="22"/>
          <w:szCs w:val="22"/>
        </w:rPr>
      </w:pPr>
    </w:p>
    <w:sectPr w:rsidR="002C3C9A" w:rsidSect="002C3C9A">
      <w:pgSz w:w="11906" w:h="16838"/>
      <w:pgMar w:top="113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C5C66"/>
    <w:multiLevelType w:val="hybridMultilevel"/>
    <w:tmpl w:val="ECAADD3A"/>
    <w:lvl w:ilvl="0" w:tplc="0A14E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2527AF"/>
    <w:multiLevelType w:val="hybridMultilevel"/>
    <w:tmpl w:val="1CE26138"/>
    <w:lvl w:ilvl="0" w:tplc="0A14E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5C"/>
    <w:rsid w:val="001B0E01"/>
    <w:rsid w:val="002B6F5C"/>
    <w:rsid w:val="002C3C9A"/>
    <w:rsid w:val="00364A06"/>
    <w:rsid w:val="003F3A43"/>
    <w:rsid w:val="00540CBF"/>
    <w:rsid w:val="005F5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F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F5C"/>
    <w:pPr>
      <w:ind w:left="720"/>
      <w:contextualSpacing/>
    </w:pPr>
  </w:style>
  <w:style w:type="paragraph" w:customStyle="1" w:styleId="Default">
    <w:name w:val="Default"/>
    <w:rsid w:val="002B6F5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4">
    <w:name w:val="Table Grid"/>
    <w:basedOn w:val="a1"/>
    <w:uiPriority w:val="59"/>
    <w:rsid w:val="002C3C9A"/>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F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F5C"/>
    <w:pPr>
      <w:ind w:left="720"/>
      <w:contextualSpacing/>
    </w:pPr>
  </w:style>
  <w:style w:type="paragraph" w:customStyle="1" w:styleId="Default">
    <w:name w:val="Default"/>
    <w:rsid w:val="002B6F5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4">
    <w:name w:val="Table Grid"/>
    <w:basedOn w:val="a1"/>
    <w:uiPriority w:val="59"/>
    <w:rsid w:val="002C3C9A"/>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klarant.ru/" TargetMode="External"/><Relationship Id="rId3" Type="http://schemas.openxmlformats.org/officeDocument/2006/relationships/styles" Target="styles.xml"/><Relationship Id="rId7" Type="http://schemas.openxmlformats.org/officeDocument/2006/relationships/hyperlink" Target="mailto:sales@dekl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D0D31-B8C4-403B-B2FE-297177AC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4097</Words>
  <Characters>23355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Пищелка</dc:creator>
  <cp:lastModifiedBy>Вероника Пищелка</cp:lastModifiedBy>
  <cp:revision>4</cp:revision>
  <dcterms:created xsi:type="dcterms:W3CDTF">2025-02-06T01:59:00Z</dcterms:created>
  <dcterms:modified xsi:type="dcterms:W3CDTF">2025-02-11T01:51:00Z</dcterms:modified>
</cp:coreProperties>
</file>